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/>
      </w:pPr>
      <w:r w:rsidDel="00000000" w:rsidR="00000000" w:rsidRPr="00000000">
        <w:rPr>
          <w:rtl w:val="0"/>
        </w:rPr>
        <w:t xml:space="preserve">29 / 03 / 2018</w:t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rPr>
          <w:b w:val="1"/>
          <w:sz w:val="36"/>
          <w:szCs w:val="36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W tym miesiącu w Dying Light</w:t>
      </w:r>
      <w:r w:rsidDel="00000000" w:rsidR="00000000" w:rsidRPr="00000000">
        <w:rPr>
          <w:i w:val="1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highlight w:val="white"/>
        </w:rPr>
        <w:drawing>
          <wp:inline distB="114300" distT="114300" distL="114300" distR="114300">
            <wp:extent cx="2152650" cy="1514828"/>
            <wp:effectExtent b="0" l="0" r="0" t="0"/>
            <wp:docPr id="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148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36"/>
          <w:szCs w:val="36"/>
          <w:highlight w:val="white"/>
        </w:rPr>
        <w:drawing>
          <wp:inline distB="114300" distT="114300" distL="114300" distR="114300">
            <wp:extent cx="3100388" cy="1568648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0388" cy="15686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jc w:val="center"/>
        <w:rPr>
          <w:b w:val="1"/>
          <w:i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Za kratami - tryb Prison Heist wśród trzech nowych zrzutów zawartości do </w:t>
      </w:r>
      <w:r w:rsidDel="00000000" w:rsidR="00000000" w:rsidRPr="00000000">
        <w:rPr>
          <w:b w:val="1"/>
          <w:i w:val="1"/>
          <w:sz w:val="36"/>
          <w:szCs w:val="36"/>
          <w:rtl w:val="0"/>
        </w:rPr>
        <w:t xml:space="preserve">Dying Light</w:t>
      </w:r>
    </w:p>
    <w:p w:rsidR="00000000" w:rsidDel="00000000" w:rsidP="00000000" w:rsidRDefault="00000000" w:rsidRPr="00000000" w14:paraId="0000000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contextualSpacing w:val="0"/>
        <w:jc w:val="both"/>
        <w:rPr/>
      </w:pPr>
      <w:r w:rsidDel="00000000" w:rsidR="00000000" w:rsidRPr="00000000">
        <w:rPr>
          <w:rtl w:val="0"/>
        </w:rPr>
        <w:t xml:space="preserve">Uwaga fani zombie. </w:t>
      </w:r>
      <w:r w:rsidDel="00000000" w:rsidR="00000000" w:rsidRPr="00000000">
        <w:rPr>
          <w:b w:val="1"/>
          <w:rtl w:val="0"/>
        </w:rPr>
        <w:t xml:space="preserve">Wydawnictwo Techland</w:t>
      </w:r>
      <w:r w:rsidDel="00000000" w:rsidR="00000000" w:rsidRPr="00000000">
        <w:rPr>
          <w:rtl w:val="0"/>
        </w:rPr>
        <w:t xml:space="preserve"> informuje, że </w:t>
      </w:r>
      <w:r w:rsidDel="00000000" w:rsidR="00000000" w:rsidRPr="00000000">
        <w:rPr>
          <w:b w:val="1"/>
          <w:rtl w:val="0"/>
        </w:rPr>
        <w:t xml:space="preserve">tempo dostaw darmowej zawartości do </w:t>
      </w:r>
      <w:r w:rsidDel="00000000" w:rsidR="00000000" w:rsidRPr="00000000">
        <w:rPr>
          <w:b w:val="1"/>
          <w:i w:val="1"/>
          <w:rtl w:val="0"/>
        </w:rPr>
        <w:t xml:space="preserve">Dying Light</w:t>
      </w:r>
      <w:r w:rsidDel="00000000" w:rsidR="00000000" w:rsidRPr="00000000">
        <w:rPr>
          <w:b w:val="1"/>
          <w:rtl w:val="0"/>
        </w:rPr>
        <w:t xml:space="preserve"> wzrasta</w:t>
      </w:r>
      <w:r w:rsidDel="00000000" w:rsidR="00000000" w:rsidRPr="00000000">
        <w:rPr>
          <w:rtl w:val="0"/>
        </w:rPr>
        <w:t xml:space="preserve">. Już dziś dostępne są dwa pakiety DLC zawierające nową lokację, świeży tryb gry, nowego, nieustraszonego przeciwnika, wyzwanie społecznościowe i Wielkanocne życzenia od drużyny Techlandu. </w:t>
      </w:r>
    </w:p>
    <w:p w:rsidR="00000000" w:rsidDel="00000000" w:rsidP="00000000" w:rsidRDefault="00000000" w:rsidRPr="00000000" w14:paraId="00000008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contextualSpacing w:val="0"/>
        <w:jc w:val="both"/>
        <w:rPr/>
      </w:pPr>
      <w:r w:rsidDel="00000000" w:rsidR="00000000" w:rsidRPr="00000000">
        <w:rPr>
          <w:b w:val="1"/>
          <w:rtl w:val="0"/>
        </w:rPr>
        <w:t xml:space="preserve">Zrzut #4 zabierze graczy na wyspę więzienną - zupełnie nową lokację.</w:t>
      </w:r>
      <w:r w:rsidDel="00000000" w:rsidR="00000000" w:rsidRPr="00000000">
        <w:rPr>
          <w:rtl w:val="0"/>
        </w:rPr>
        <w:t xml:space="preserve"> Ta odizolowana forteca to miejsce rozgrywki w trybie Prison Heist, w którym należy włamać się do więzienia. Prison Heist oferuje rozgrywkę jednoosobową lub kooperacyjną, a działając w grupie gracze muszą pamiętać o strategii, ścisłej współpracy i tym, by ograbić miejsce zanim włączy się alarm. Im szybciej tego dokonają, tym wyższa nagroda. W połowie kwietnia w trybie Prison Heist odbędą się społecznościowe zawody, o których więcej informacji wkrótce na fanpage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Techland Wydawnictwo</w:t>
        </w:r>
      </w:hyperlink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0A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contextualSpacing w:val="0"/>
        <w:jc w:val="center"/>
        <w:rPr>
          <w:highlight w:val="white"/>
        </w:rPr>
      </w:pPr>
      <w:hyperlink r:id="rId9">
        <w:r w:rsidDel="00000000" w:rsidR="00000000" w:rsidRPr="00000000">
          <w:rPr>
            <w:color w:val="1155cc"/>
            <w:u w:val="single"/>
            <w:shd w:fill="ffe599" w:val="clear"/>
          </w:rPr>
          <w:drawing>
            <wp:inline distB="114300" distT="114300" distL="114300" distR="114300">
              <wp:extent cx="4429125" cy="2490817"/>
              <wp:effectExtent b="0" l="0" r="0" t="0"/>
              <wp:docPr id="4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1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29125" cy="2490817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contextualSpacing w:val="0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Link do wideo: </w:t>
      </w:r>
      <w:hyperlink r:id="rId11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https://youtu.be/Bb_gmqY4uWc</w:t>
        </w:r>
      </w:hyperlink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contextualSpacing w:val="0"/>
        <w:jc w:val="both"/>
        <w:rPr/>
      </w:pPr>
      <w:r w:rsidDel="00000000" w:rsidR="00000000" w:rsidRPr="00000000">
        <w:rPr>
          <w:b w:val="1"/>
          <w:rtl w:val="0"/>
        </w:rPr>
        <w:t xml:space="preserve">Wraz ze Zrzutem #5 na scenę wkracza sierżant Deathrow - </w:t>
      </w:r>
      <w:r w:rsidDel="00000000" w:rsidR="00000000" w:rsidRPr="00000000">
        <w:rPr>
          <w:rtl w:val="0"/>
        </w:rPr>
        <w:t xml:space="preserve">dotychczas nieznana mutacja zwalistego Demolishera. Jest większy, mocniejszy i bardziej nieprzewidywalny, ale zabicie go daje potężny zastrzyk punktów doświadczenia. </w:t>
      </w:r>
      <w:r w:rsidDel="00000000" w:rsidR="00000000" w:rsidRPr="00000000">
        <w:rPr>
          <w:b w:val="1"/>
          <w:rtl w:val="0"/>
        </w:rPr>
        <w:t xml:space="preserve">Zrzut #6</w:t>
      </w:r>
      <w:r w:rsidDel="00000000" w:rsidR="00000000" w:rsidRPr="00000000">
        <w:rPr>
          <w:rtl w:val="0"/>
        </w:rPr>
        <w:t xml:space="preserve"> zostanie opublikowany w połowie kwietnia.</w:t>
      </w:r>
    </w:p>
    <w:p w:rsidR="00000000" w:rsidDel="00000000" w:rsidP="00000000" w:rsidRDefault="00000000" w:rsidRPr="00000000" w14:paraId="0000000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434013" cy="2030985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4013" cy="2030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contextualSpacing w:val="0"/>
        <w:jc w:val="both"/>
        <w:rPr/>
      </w:pPr>
      <w:r w:rsidDel="00000000" w:rsidR="00000000" w:rsidRPr="00000000">
        <w:rPr>
          <w:rtl w:val="0"/>
        </w:rPr>
        <w:t xml:space="preserve">Ponadto dziś startuje również nowe wyzwanie społecznościowe. </w:t>
      </w:r>
      <w:r w:rsidDel="00000000" w:rsidR="00000000" w:rsidRPr="00000000">
        <w:rPr>
          <w:b w:val="1"/>
          <w:rtl w:val="0"/>
        </w:rPr>
        <w:t xml:space="preserve">Harran Egg Hunt to polowanie na królika zamienionego w zombie i poszukiwanie świątecznych jajek</w:t>
      </w:r>
      <w:r w:rsidDel="00000000" w:rsidR="00000000" w:rsidRPr="00000000">
        <w:rPr>
          <w:rtl w:val="0"/>
        </w:rPr>
        <w:t xml:space="preserve">, w którym można wygrać specjalny wielkanocny strój. Więcej informacji znajdziesz w menu gry i na stronie </w:t>
      </w:r>
      <w:hyperlink r:id="rId13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dyinglightgame.com/bounties/</w:t>
        </w:r>
      </w:hyperlink>
      <w:r w:rsidDel="00000000" w:rsidR="00000000" w:rsidRPr="00000000">
        <w:rPr>
          <w:b w:val="1"/>
          <w:rtl w:val="0"/>
        </w:rPr>
        <w:t xml:space="preserve">. </w:t>
      </w:r>
      <w:r w:rsidDel="00000000" w:rsidR="00000000" w:rsidRPr="00000000">
        <w:rPr>
          <w:rtl w:val="0"/>
        </w:rPr>
        <w:t xml:space="preserve">Polowanie zakończy się 3 kwietnia.</w:t>
      </w:r>
    </w:p>
    <w:p w:rsidR="00000000" w:rsidDel="00000000" w:rsidP="00000000" w:rsidRDefault="00000000" w:rsidRPr="00000000" w14:paraId="00000013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contextualSpacing w:val="0"/>
        <w:jc w:val="both"/>
        <w:rPr/>
      </w:pPr>
      <w:r w:rsidDel="00000000" w:rsidR="00000000" w:rsidRPr="00000000">
        <w:rPr>
          <w:i w:val="1"/>
          <w:rtl w:val="0"/>
        </w:rPr>
        <w:t xml:space="preserve">Dying Light</w:t>
      </w:r>
      <w:r w:rsidDel="00000000" w:rsidR="00000000" w:rsidRPr="00000000">
        <w:rPr>
          <w:rtl w:val="0"/>
        </w:rPr>
        <w:t xml:space="preserve"> od teraz posiada również chińską wersję językową.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contextualSpacing w:val="0"/>
        <w:jc w:val="both"/>
        <w:rPr>
          <w:i w:val="1"/>
        </w:rPr>
      </w:pPr>
      <w:r w:rsidDel="00000000" w:rsidR="00000000" w:rsidRPr="00000000">
        <w:rPr>
          <w:i w:val="1"/>
          <w:rtl w:val="0"/>
        </w:rPr>
        <w:t xml:space="preserve">Nie przegapcie kolejny odcinków “W tym miesiącu w Dying Light”</w:t>
      </w:r>
    </w:p>
    <w:p w:rsidR="00000000" w:rsidDel="00000000" w:rsidP="00000000" w:rsidRDefault="00000000" w:rsidRPr="00000000" w14:paraId="00000017">
      <w:pPr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  <w:u w:val="single"/>
        </w:rPr>
      </w:pPr>
      <w:r w:rsidDel="00000000" w:rsidR="00000000" w:rsidRPr="00000000">
        <w:rPr>
          <w:i w:val="1"/>
          <w:rtl w:val="0"/>
        </w:rPr>
        <w:t xml:space="preserve">Szczęśliwych świąt Wielkanocnych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240" w:lineRule="auto"/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line="240" w:lineRule="auto"/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40" w:lineRule="auto"/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999999"/>
          <w:sz w:val="16"/>
          <w:szCs w:val="16"/>
          <w:u w:val="single"/>
          <w:rtl w:val="0"/>
        </w:rPr>
        <w:t xml:space="preserve">O firmie Techland</w:t>
      </w:r>
    </w:p>
    <w:p w:rsidR="00000000" w:rsidDel="00000000" w:rsidP="00000000" w:rsidRDefault="00000000" w:rsidRPr="00000000" w14:paraId="0000001B">
      <w:pPr>
        <w:widowControl w:val="0"/>
        <w:spacing w:line="240" w:lineRule="auto"/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b w:val="1"/>
          <w:color w:val="999999"/>
          <w:sz w:val="16"/>
          <w:szCs w:val="16"/>
          <w:rtl w:val="0"/>
        </w:rPr>
        <w:t xml:space="preserve">Techland, niezależny producent gier, dystrybutor i globalny wydawca, powstał w 1991 roku. Polska firma znana jest najbardziej z gier Dead Island, Call of Juarez oraz Dying Light i dodatku Dying Light: The Following. Łącznie marka Dying Light przyciągnęła ponad 10 milionów graczy. Aktualnie pracuje nad dwiema grami z segmentu AAA, które ujrzą światło dzienne w ciągu najbliższych trzech lat.</w:t>
      </w:r>
    </w:p>
    <w:p w:rsidR="00000000" w:rsidDel="00000000" w:rsidP="00000000" w:rsidRDefault="00000000" w:rsidRPr="00000000" w14:paraId="0000001C">
      <w:pPr>
        <w:widowControl w:val="0"/>
        <w:spacing w:line="240" w:lineRule="auto"/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b w:val="1"/>
          <w:color w:val="999999"/>
          <w:sz w:val="16"/>
          <w:szCs w:val="16"/>
          <w:rtl w:val="0"/>
        </w:rPr>
        <w:t xml:space="preserve">W 2016 roku Techland rozszerzył swoją działalność o wydawnictwo ogólnoświatowe pod marką Techland Publishing. Na początku 2017 roku firma wydała Torment: Tides of Numenera – ciepło przyjętego duchowego spadkobiercę legendarnego Planescape: Torment. Obecnie firma przygotowuje się do wydania Pure Farming 2018 oraz kilku produkcji firm trzecich.</w:t>
      </w:r>
    </w:p>
    <w:p w:rsidR="00000000" w:rsidDel="00000000" w:rsidP="00000000" w:rsidRDefault="00000000" w:rsidRPr="00000000" w14:paraId="0000001D">
      <w:pPr>
        <w:widowControl w:val="0"/>
        <w:spacing w:line="240" w:lineRule="auto"/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line="240" w:lineRule="auto"/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b w:val="1"/>
          <w:color w:val="999999"/>
          <w:sz w:val="16"/>
          <w:szCs w:val="16"/>
          <w:rtl w:val="0"/>
        </w:rPr>
        <w:t xml:space="preserve">Techland tworzy i wydaje najwyższej jakości produkcje na wiodących platformach – PC, Sony PlayStation 4 oraz Microsoft Xbox One. W czterech biurach znajdujących się na terenie Polski oraz Kanady pracuje ponad 350 utalentowanych osób. Każdym swoim produktem firma stara się dostarczać niezapomnianych przeżyć, korzystając przy tym z najświeższych i innowacyjnych technologii.</w:t>
      </w:r>
    </w:p>
    <w:p w:rsidR="00000000" w:rsidDel="00000000" w:rsidP="00000000" w:rsidRDefault="00000000" w:rsidRPr="00000000" w14:paraId="0000001F">
      <w:pPr>
        <w:widowControl w:val="0"/>
        <w:spacing w:line="240" w:lineRule="auto"/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240" w:lineRule="auto"/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b w:val="1"/>
          <w:color w:val="999999"/>
          <w:sz w:val="16"/>
          <w:szCs w:val="16"/>
          <w:rtl w:val="0"/>
        </w:rPr>
        <w:t xml:space="preserve">Więcej informacji o firmie Techland znajdziesz na oficjalnych stronach: http://techlandpublishing.com oraz </w:t>
      </w:r>
      <w:hyperlink r:id="rId14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16"/>
            <w:szCs w:val="16"/>
            <w:u w:val="single"/>
            <w:rtl w:val="0"/>
          </w:rPr>
          <w:t xml:space="preserve">http://techland.pl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240" w:lineRule="auto"/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40" w:lineRule="auto"/>
        <w:contextualSpacing w:val="0"/>
        <w:jc w:val="both"/>
        <w:rPr>
          <w:rFonts w:ascii="Calibri" w:cs="Calibri" w:eastAsia="Calibri" w:hAnsi="Calibri"/>
          <w:b w:val="1"/>
          <w:color w:val="999999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b w:val="1"/>
          <w:color w:val="999999"/>
          <w:sz w:val="16"/>
          <w:szCs w:val="16"/>
          <w:rtl w:val="0"/>
        </w:rPr>
        <w:t xml:space="preserve">Wszystkie nazwy produktów, wydawców, znaki handlowe, materiały graficzne oraz powiązane grafiki i znaki handlowe, zarejestrowane znaki handlowe i/lub materiały chronione prawami autorskimi są własnością odpowiednich właścicieli. Wszelkie prawa zastrzeżone.</w:t>
      </w:r>
    </w:p>
    <w:p w:rsidR="00000000" w:rsidDel="00000000" w:rsidP="00000000" w:rsidRDefault="00000000" w:rsidRPr="00000000" w14:paraId="00000023">
      <w:pPr>
        <w:widowControl w:val="0"/>
        <w:spacing w:line="240" w:lineRule="auto"/>
        <w:contextualSpacing w:val="0"/>
        <w:jc w:val="center"/>
        <w:rPr>
          <w:rFonts w:ascii="Calibri" w:cs="Calibri" w:eastAsia="Calibri" w:hAnsi="Calibri"/>
        </w:rPr>
      </w:pPr>
      <w:bookmarkStart w:colFirst="0" w:colLast="0" w:name="_yq069kaxjwne" w:id="0"/>
      <w:bookmarkEnd w:id="0"/>
      <w:r w:rsidDel="00000000" w:rsidR="00000000" w:rsidRPr="00000000">
        <w:rPr>
          <w:rFonts w:ascii="Helvetica Neue" w:cs="Helvetica Neue" w:eastAsia="Helvetica Neue" w:hAnsi="Helvetica Neue"/>
          <w:color w:val="1d2129"/>
          <w:highlight w:val="white"/>
          <w:rtl w:val="0"/>
        </w:rPr>
        <w:t xml:space="preserve">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line="240" w:lineRule="auto"/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line="240" w:lineRule="auto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Kontakt dla mediów: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line="240" w:lineRule="auto"/>
        <w:contextualSpacing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Konrad Adamczewski | Anna Łada-Grodzicka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line="240" w:lineRule="auto"/>
        <w:contextualSpacing w:val="0"/>
        <w:rPr/>
      </w:pPr>
      <w:hyperlink r:id="rId15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konrad.adamczewski@techland.pl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tl w:val="0"/>
        </w:rPr>
        <w:t xml:space="preserve">| </w:t>
      </w:r>
      <w:hyperlink r:id="rId16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anna.lada.grodzicka@techland.pl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line="240" w:lineRule="auto"/>
        <w:contextualSpacing w:val="0"/>
        <w:rPr>
          <w:rFonts w:ascii="Calibri" w:cs="Calibri" w:eastAsia="Calibri" w:hAnsi="Calibri"/>
          <w:b w:val="1"/>
          <w:color w:val="999999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contextualSpacing w:val="0"/>
      <w:rPr/>
    </w:pPr>
    <w:r w:rsidDel="00000000" w:rsidR="00000000" w:rsidRPr="00000000">
      <w:rPr/>
      <w:drawing>
        <wp:inline distB="114300" distT="114300" distL="114300" distR="114300">
          <wp:extent cx="5734050" cy="355600"/>
          <wp:effectExtent b="0" l="0" r="0" t="0"/>
          <wp:docPr id="2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4050" cy="355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contextualSpacing w:val="0"/>
      <w:rPr/>
    </w:pPr>
    <w:r w:rsidDel="00000000" w:rsidR="00000000" w:rsidRPr="00000000">
      <w:rPr/>
      <w:drawing>
        <wp:inline distB="114300" distT="114300" distL="114300" distR="114300">
          <wp:extent cx="5734050" cy="901700"/>
          <wp:effectExtent b="0" l="0" r="0" t="0"/>
          <wp:docPr id="1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4050" cy="9017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pl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youtu.be/Bb_gmqY4uWc" TargetMode="External"/><Relationship Id="rId10" Type="http://schemas.openxmlformats.org/officeDocument/2006/relationships/image" Target="media/image10.png"/><Relationship Id="rId13" Type="http://schemas.openxmlformats.org/officeDocument/2006/relationships/hyperlink" Target="http://dyinglightgame.com/bounties/" TargetMode="External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Bb_gmqY4uWc" TargetMode="External"/><Relationship Id="rId15" Type="http://schemas.openxmlformats.org/officeDocument/2006/relationships/hyperlink" Target="mailto:konrad.adamczewski@techland.pl" TargetMode="External"/><Relationship Id="rId14" Type="http://schemas.openxmlformats.org/officeDocument/2006/relationships/hyperlink" Target="http://techland.pl" TargetMode="External"/><Relationship Id="rId17" Type="http://schemas.openxmlformats.org/officeDocument/2006/relationships/header" Target="header1.xml"/><Relationship Id="rId16" Type="http://schemas.openxmlformats.org/officeDocument/2006/relationships/hyperlink" Target="mailto:anna.lada.grodzicka@techland.pl" TargetMode="External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18" Type="http://schemas.openxmlformats.org/officeDocument/2006/relationships/footer" Target="footer1.xml"/><Relationship Id="rId7" Type="http://schemas.openxmlformats.org/officeDocument/2006/relationships/image" Target="media/image8.png"/><Relationship Id="rId8" Type="http://schemas.openxmlformats.org/officeDocument/2006/relationships/hyperlink" Target="https://www.facebook.com/TechlandWydawnictwo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