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B6" w:rsidRPr="00B04C53" w:rsidRDefault="00421F81" w:rsidP="00043ED6">
      <w:pPr>
        <w:pStyle w:val="NormalnyWeb"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B04C53">
        <w:rPr>
          <w:rFonts w:asciiTheme="minorHAnsi" w:hAnsiTheme="minorHAnsi"/>
          <w:b/>
          <w:sz w:val="22"/>
          <w:szCs w:val="22"/>
        </w:rPr>
        <w:t>Warszawa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DC584E">
        <w:rPr>
          <w:rFonts w:asciiTheme="minorHAnsi" w:hAnsiTheme="minorHAnsi"/>
          <w:b/>
          <w:sz w:val="22"/>
          <w:szCs w:val="22"/>
        </w:rPr>
        <w:t>28</w:t>
      </w:r>
      <w:r w:rsidR="00B04C53">
        <w:rPr>
          <w:rFonts w:asciiTheme="minorHAnsi" w:hAnsiTheme="minorHAnsi"/>
          <w:b/>
          <w:sz w:val="22"/>
          <w:szCs w:val="22"/>
        </w:rPr>
        <w:t>.02</w:t>
      </w:r>
      <w:r>
        <w:rPr>
          <w:rFonts w:asciiTheme="minorHAnsi" w:hAnsiTheme="minorHAnsi"/>
          <w:b/>
          <w:sz w:val="22"/>
          <w:szCs w:val="22"/>
        </w:rPr>
        <w:t>.2018 r.</w:t>
      </w:r>
    </w:p>
    <w:p w:rsidR="00B04C53" w:rsidRPr="00D512D4" w:rsidRDefault="00B04C53" w:rsidP="00043ED6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DC584E" w:rsidRPr="00DC584E" w:rsidRDefault="00DC584E" w:rsidP="00DC584E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DC584E">
        <w:rPr>
          <w:rFonts w:ascii="Arial" w:hAnsi="Arial" w:cs="Arial"/>
          <w:b/>
          <w:color w:val="000000" w:themeColor="text1"/>
        </w:rPr>
        <w:t>Luksusowe auto bez polskich tablic rejestracyjnych, ale z polską akcyzą</w:t>
      </w:r>
    </w:p>
    <w:p w:rsidR="00DC584E" w:rsidRPr="00DC584E" w:rsidRDefault="00DC584E" w:rsidP="00DC584E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DC584E">
        <w:rPr>
          <w:rFonts w:ascii="Arial" w:hAnsi="Arial" w:cs="Arial"/>
          <w:b/>
          <w:color w:val="000000" w:themeColor="text1"/>
          <w:sz w:val="20"/>
        </w:rPr>
        <w:t>Medialne doniesienia związane z kierunkiem wydawanych interpretacji dotyczących podatku akcyzowego od aut zarejestrowanych za granicą, a wykorzystywanych na cele działalności gospodarczej w Polsce, zaskoczyły niejednego przedsiębiorcę. Zapewne dalsze działania aparatu skarbowego w tym zakresie mogą okazać się jeszcze bardziej zadziwiające.</w:t>
      </w:r>
      <w:r w:rsidRPr="00DC584E">
        <w:rPr>
          <w:rFonts w:ascii="Arial" w:hAnsi="Arial" w:cs="Arial"/>
          <w:color w:val="000000" w:themeColor="text1"/>
          <w:sz w:val="20"/>
        </w:rPr>
        <w:t xml:space="preserve"> </w:t>
      </w:r>
    </w:p>
    <w:p w:rsidR="00DC584E" w:rsidRPr="00DC584E" w:rsidRDefault="00DC584E" w:rsidP="00DC584E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DC584E">
        <w:rPr>
          <w:rFonts w:ascii="Arial" w:hAnsi="Arial" w:cs="Arial"/>
          <w:color w:val="000000" w:themeColor="text1"/>
          <w:sz w:val="20"/>
        </w:rPr>
        <w:t xml:space="preserve">Użytkownicy takich samochodów już teraz powinni liczyć się z ryzykiem doraźnych akcji prewencyjnych właściwych organów. Bez wątpienia działania takie zaplanowane mogą być w ramach współpracy różnych służb (tj. inspekcji transportu drogowego, policji, straży granicznej, miejskiej i służby </w:t>
      </w:r>
      <w:proofErr w:type="spellStart"/>
      <w:r w:rsidRPr="00DC584E">
        <w:rPr>
          <w:rFonts w:ascii="Arial" w:hAnsi="Arial" w:cs="Arial"/>
          <w:color w:val="000000" w:themeColor="text1"/>
          <w:sz w:val="20"/>
        </w:rPr>
        <w:t>celno</w:t>
      </w:r>
      <w:proofErr w:type="spellEnd"/>
      <w:r w:rsidRPr="00DC584E">
        <w:rPr>
          <w:rFonts w:ascii="Arial" w:hAnsi="Arial" w:cs="Arial"/>
          <w:color w:val="000000" w:themeColor="text1"/>
          <w:sz w:val="20"/>
        </w:rPr>
        <w:t xml:space="preserve"> – skarbowej), które to będą miały za zadanie identyfikację pojazdów firmowych polskich przedsiębiorców, wykorzystujących samochody zarejestrowane poza granicą RP. </w:t>
      </w:r>
    </w:p>
    <w:p w:rsidR="00DC584E" w:rsidRPr="00DC584E" w:rsidRDefault="00DC584E" w:rsidP="00DC584E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DC584E">
        <w:rPr>
          <w:rFonts w:ascii="Arial" w:hAnsi="Arial" w:cs="Arial"/>
          <w:color w:val="000000" w:themeColor="text1"/>
          <w:sz w:val="20"/>
        </w:rPr>
        <w:t xml:space="preserve">Resort finansów realizuje swój jasno wytyczony cel, a mianowicie efektywne, szybkie i niekosztowne pozyskiwanie wpływów podatkowych do budżetu. Zapewne ujawnianie nadużyć w zakresie nieprawidłowego wypełnienia obowiązku z tytułu nieuiszczenia akcyzy od takiego auta, jest zdecydowanie działaniem znacznie prostszym i tańszym niż chociażby prowadzenie postępowań podatkowych w zakresie cen transferowych, wyłudzeń podatku VAT czy uchylania się od opodatkowania w związku z transferem zysków za granicę lub sztucznym generowaniem strat itd. Jak wskazują dane zamieszone przez </w:t>
      </w:r>
      <w:proofErr w:type="spellStart"/>
      <w:r w:rsidRPr="00DC584E">
        <w:rPr>
          <w:rFonts w:ascii="Arial" w:hAnsi="Arial" w:cs="Arial"/>
          <w:color w:val="000000" w:themeColor="text1"/>
          <w:sz w:val="20"/>
        </w:rPr>
        <w:t>MF</w:t>
      </w:r>
      <w:proofErr w:type="spellEnd"/>
      <w:r w:rsidRPr="00DC584E">
        <w:rPr>
          <w:rFonts w:ascii="Arial" w:hAnsi="Arial" w:cs="Arial"/>
          <w:color w:val="000000" w:themeColor="text1"/>
          <w:sz w:val="20"/>
        </w:rPr>
        <w:t xml:space="preserve"> o szacunkowym wykonaniu budżetu państwa za 2017r., tylko w zakresie podatku akcyzowego nie udało się zrealizować planu. Prognozuje się, że wpływy z akcyzy wyniosły za okres od stycznia do grudnia 2017r. 68.261,3 mln zł i stanowiły 98% planowanej kwoty. Tak więc może nie powinno podatników dziwić stanowisko fiskusa w zakresie opodatkowania akcyzą najmu samochodów osobowych zarejestrowanych poza RP.</w:t>
      </w: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Dyrektor </w:t>
      </w:r>
      <w:proofErr w:type="spellStart"/>
      <w:r w:rsidRPr="00DC584E">
        <w:rPr>
          <w:rFonts w:ascii="Arial" w:hAnsi="Arial" w:cs="Arial"/>
          <w:color w:val="000000" w:themeColor="text1"/>
          <w:sz w:val="20"/>
          <w:szCs w:val="22"/>
        </w:rPr>
        <w:t>KIS</w:t>
      </w:r>
      <w:proofErr w:type="spellEnd"/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 w wydanej w lutym br. interpretacji podatkowej nr 0111-KDIB3-3.4013.265.2017.1.JS wskazał, że wynajęcie samochodu z wypożyczalni przez polskiego podatnika lub jego pracowników w krajach członkowskich UE oraz przyjazd tym samochodem na terytorium RP w ramach podróży służbowej bądź wykonywanie innej czynności w ramach prowadzonej działalności gospodarczej – np. przywóz dokumentów z zagranicy, będzie powodować obowiązek zapłaty akcyzy. Organ twierdził, że przejazd wynajętym autem na odcinku z Niemiec do Polski stanowić będzie przemieszenie samochodu osobowego z terytorium państwa członkowskiego na terytorium kraju. Powołując treść art. 2 pkt 9 przedmiotowej ustawy nabyciem wewnątrzwspólnotowym będzie zawarcie umowy najmu samochodu osobowego na terytorium państwa członkowskiego oraz sprowadzenie tego pojazdu na terytorium Polski - interpretacja Dyrektora </w:t>
      </w:r>
      <w:proofErr w:type="spellStart"/>
      <w:r w:rsidRPr="00DC584E">
        <w:rPr>
          <w:rFonts w:ascii="Arial" w:hAnsi="Arial" w:cs="Arial"/>
          <w:color w:val="000000" w:themeColor="text1"/>
          <w:sz w:val="20"/>
          <w:szCs w:val="22"/>
        </w:rPr>
        <w:t>KIS</w:t>
      </w:r>
      <w:proofErr w:type="spellEnd"/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 nr 0111-KDIB3-3.4013.241.2017.1.JS z dnia 19.12.2017r. </w:t>
      </w: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Ustawa o podatku akcyzowym (dalej zwaną </w:t>
      </w:r>
      <w:proofErr w:type="spellStart"/>
      <w:r w:rsidRPr="00DC584E">
        <w:rPr>
          <w:rFonts w:ascii="Arial" w:hAnsi="Arial" w:cs="Arial"/>
          <w:color w:val="000000" w:themeColor="text1"/>
          <w:sz w:val="20"/>
          <w:szCs w:val="22"/>
        </w:rPr>
        <w:t>upa</w:t>
      </w:r>
      <w:proofErr w:type="spellEnd"/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) wskazuje jednakże, że zapłata tego podatku z tytułu nabycia wewnątrzwspólnotowego, uzależniona jest nie tylko od faktu przemieszczenia samochodu, nabycia prawa do tego samochodu i rozporządzania tym prawem jak właściciel, ale również od tego, czy zostanie złożony wniosek o rejestrację takiego auta na terytorium RP (art. 101 ust. 2 pkt 1-3 </w:t>
      </w:r>
      <w:proofErr w:type="spellStart"/>
      <w:r w:rsidRPr="00DC584E">
        <w:rPr>
          <w:rFonts w:ascii="Arial" w:hAnsi="Arial" w:cs="Arial"/>
          <w:color w:val="000000" w:themeColor="text1"/>
          <w:sz w:val="20"/>
          <w:szCs w:val="22"/>
        </w:rPr>
        <w:t>upa</w:t>
      </w:r>
      <w:proofErr w:type="spellEnd"/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). Tak więc w sytuacji, gdy najemca samochodu nie będzie występował z wnioskiem o jego rejestrację w Polsce, to nie będzie zobowiązany do zapłaty akcyzy z tytułu nabycia wewnątrzwspólnotowego, ale zapłaci podatek z racji użycia samochodu na potrzeby prowadzonej działalności gospodarczej. Obowiązek ten wynika z treści art. 100 ust. 5 pkt 9 </w:t>
      </w:r>
      <w:proofErr w:type="spellStart"/>
      <w:r w:rsidRPr="00DC584E">
        <w:rPr>
          <w:rFonts w:ascii="Arial" w:hAnsi="Arial" w:cs="Arial"/>
          <w:color w:val="000000" w:themeColor="text1"/>
          <w:sz w:val="20"/>
          <w:szCs w:val="22"/>
        </w:rPr>
        <w:t>upa</w:t>
      </w:r>
      <w:proofErr w:type="spellEnd"/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, gdyż ustawodawca użycie samochodu osobowego na potrzeby prowadzonej działalności gospodarczej, uznaje za jego sprzedaż. </w:t>
      </w: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Wartość wyliczonego z tego tytułu podatku akcyzowego odniesiona do kosztów najmu samochodu przez przedsiębiorcę może okazać się niewyobrażalna - wielokrotnie wyższa od wartości usługi. Podstawą opodatkowania będzie średnia wartość rynkowa wynajętego samochodu osobowego, pomniejszona o kwotę podatku od towarów i usług oraz o kwotę akcyzy.  Stąd też stanowisko fiskusa jest nieprawdopodobne. Z jednej strony trzeba zrozumieć organy skarbowe, mające wyłącznie intencję </w:t>
      </w:r>
      <w:r w:rsidRPr="00DC584E">
        <w:rPr>
          <w:rFonts w:ascii="Arial" w:hAnsi="Arial" w:cs="Arial"/>
          <w:color w:val="000000" w:themeColor="text1"/>
          <w:sz w:val="20"/>
          <w:szCs w:val="22"/>
        </w:rPr>
        <w:lastRenderedPageBreak/>
        <w:t xml:space="preserve">zapobiegania nadużyć, to jednak z drugiej - trudno o akceptację prezentowanej wykładni prawa podatkowego, bez racjonalnej oceny określonych zdarzeń gospodarczych. </w:t>
      </w: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Dzisiejszy model prowadzenia działalności zarówno osób fizycznych, jak i prawnych, jest wymuszony globalizacją procesów gospodarczych, a tym samym międzynarodowym przepływem towarów, usług i osób. Poruszanie się wynajętym autem od firmy bez siedziby w Polsce, czy nawet zakup i rejestracja przez polskiego podatnika samochodu w kraju członkowskim, nie oznacza dopuszczenia się oszustwa podatkowego. To jedynie efekt analizy opłacalności dokonywania inwestycji w krajach konkurencyjnych podatkowo czy też ekonomiki gospodarowania zasobami pieniężnymi. Posiadanie spółek poza granicami RP, w tym aktywów w postaci luksusowych aut, które można tam nabyć za atrakcyjną cenę, zazwyczaj służy realizacji celów gospodarczych poza terytorium RP, uzasadnionych ekonomicznie. </w:t>
      </w:r>
    </w:p>
    <w:p w:rsidR="00DC584E" w:rsidRPr="00DC584E" w:rsidRDefault="00DC584E" w:rsidP="00DC584E">
      <w:pPr>
        <w:pStyle w:val="NormalnyWeb"/>
        <w:shd w:val="clear" w:color="auto" w:fill="FFFFFF" w:themeFill="background1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DC584E">
        <w:rPr>
          <w:rFonts w:ascii="Arial" w:hAnsi="Arial" w:cs="Arial"/>
          <w:color w:val="000000" w:themeColor="text1"/>
          <w:sz w:val="20"/>
          <w:szCs w:val="22"/>
        </w:rPr>
        <w:t xml:space="preserve">Stanowiska prezentowane w przywołanych interpretacjach podatkowych mogą negatywnie wpłynąć na przedsiębiorców prowadzących uczciwy biznes. Może bardziej zasadne byłoby, to, aby aparat skarbowy w ramach uszczelniania systemu podatkowego identyfikował dobra luksusowe, których dysponentami są podmioty działające w zorganizowanych grupach przestępczych. Właściwie to one powinny być adresatami działań z zakresu bezwzględnego ściągania nieuiszczonych na rzecz budżetu danin publicznych. </w:t>
      </w:r>
    </w:p>
    <w:p w:rsidR="00D512D4" w:rsidRPr="00D512D4" w:rsidRDefault="00D512D4" w:rsidP="00D512D4">
      <w:pPr>
        <w:rPr>
          <w:rFonts w:asciiTheme="minorHAnsi" w:hAnsiTheme="minorHAnsi"/>
          <w:sz w:val="20"/>
          <w:szCs w:val="20"/>
        </w:rPr>
      </w:pPr>
      <w:r w:rsidRPr="00D512D4">
        <w:rPr>
          <w:rFonts w:asciiTheme="minorHAnsi" w:hAnsiTheme="minorHAnsi"/>
          <w:sz w:val="20"/>
          <w:szCs w:val="20"/>
        </w:rPr>
        <w:t xml:space="preserve">Autor: dr Alicja Tołwińska, </w:t>
      </w:r>
      <w:proofErr w:type="spellStart"/>
      <w:r w:rsidR="001F673C">
        <w:rPr>
          <w:rFonts w:asciiTheme="minorHAnsi" w:hAnsiTheme="minorHAnsi"/>
          <w:sz w:val="20"/>
          <w:szCs w:val="20"/>
        </w:rPr>
        <w:t>Managing</w:t>
      </w:r>
      <w:proofErr w:type="spellEnd"/>
      <w:r w:rsidR="001F673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F673C">
        <w:rPr>
          <w:rFonts w:asciiTheme="minorHAnsi" w:hAnsiTheme="minorHAnsi"/>
          <w:sz w:val="20"/>
          <w:szCs w:val="20"/>
        </w:rPr>
        <w:t>Associate</w:t>
      </w:r>
      <w:proofErr w:type="spellEnd"/>
      <w:r w:rsidR="001F673C">
        <w:rPr>
          <w:rFonts w:asciiTheme="minorHAnsi" w:hAnsiTheme="minorHAnsi"/>
          <w:sz w:val="20"/>
          <w:szCs w:val="20"/>
        </w:rPr>
        <w:t xml:space="preserve">, </w:t>
      </w:r>
      <w:r w:rsidRPr="00D512D4">
        <w:rPr>
          <w:rFonts w:asciiTheme="minorHAnsi" w:hAnsiTheme="minorHAnsi"/>
          <w:sz w:val="20"/>
          <w:szCs w:val="20"/>
        </w:rPr>
        <w:t>d</w:t>
      </w:r>
      <w:bookmarkStart w:id="0" w:name="_GoBack"/>
      <w:bookmarkEnd w:id="0"/>
      <w:r w:rsidRPr="00D512D4">
        <w:rPr>
          <w:rFonts w:asciiTheme="minorHAnsi" w:hAnsiTheme="minorHAnsi"/>
          <w:sz w:val="20"/>
          <w:szCs w:val="20"/>
        </w:rPr>
        <w:t xml:space="preserve">oradca podatkowy, Grup </w:t>
      </w:r>
      <w:proofErr w:type="spellStart"/>
      <w:r w:rsidRPr="00D512D4">
        <w:rPr>
          <w:rFonts w:asciiTheme="minorHAnsi" w:hAnsiTheme="minorHAnsi"/>
          <w:sz w:val="20"/>
          <w:szCs w:val="20"/>
        </w:rPr>
        <w:t>CHWP</w:t>
      </w:r>
      <w:proofErr w:type="spellEnd"/>
      <w:r w:rsidRPr="00D512D4">
        <w:rPr>
          <w:rFonts w:asciiTheme="minorHAnsi" w:hAnsiTheme="minorHAnsi"/>
          <w:sz w:val="20"/>
          <w:szCs w:val="20"/>
        </w:rPr>
        <w:t xml:space="preserve"> – Chałas </w:t>
      </w:r>
      <w:proofErr w:type="spellStart"/>
      <w:r w:rsidRPr="00D512D4">
        <w:rPr>
          <w:rFonts w:asciiTheme="minorHAnsi" w:hAnsiTheme="minorHAnsi"/>
          <w:sz w:val="20"/>
          <w:szCs w:val="20"/>
        </w:rPr>
        <w:t>Tax</w:t>
      </w:r>
      <w:proofErr w:type="spellEnd"/>
      <w:r w:rsidRPr="00D512D4">
        <w:rPr>
          <w:rFonts w:asciiTheme="minorHAnsi" w:hAnsiTheme="minorHAnsi"/>
          <w:sz w:val="20"/>
          <w:szCs w:val="20"/>
        </w:rPr>
        <w:t xml:space="preserve"> &amp; Finance </w:t>
      </w:r>
      <w:proofErr w:type="spellStart"/>
      <w:r w:rsidRPr="00D512D4">
        <w:rPr>
          <w:rFonts w:asciiTheme="minorHAnsi" w:hAnsiTheme="minorHAnsi"/>
          <w:sz w:val="20"/>
          <w:szCs w:val="20"/>
        </w:rPr>
        <w:t>Advisory</w:t>
      </w:r>
      <w:proofErr w:type="spellEnd"/>
    </w:p>
    <w:p w:rsidR="00D512D4" w:rsidRDefault="00D512D4" w:rsidP="00043ED6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528B6" w:rsidRPr="00B04C53" w:rsidRDefault="00E528B6" w:rsidP="00043ED6">
      <w:pPr>
        <w:spacing w:line="276" w:lineRule="auto"/>
        <w:jc w:val="center"/>
        <w:rPr>
          <w:rFonts w:asciiTheme="minorHAnsi" w:hAnsiTheme="minorHAnsi"/>
          <w:b/>
          <w:bCs/>
          <w:sz w:val="27"/>
          <w:szCs w:val="27"/>
        </w:rPr>
      </w:pPr>
      <w:r w:rsidRPr="00B04C53">
        <w:rPr>
          <w:rFonts w:asciiTheme="minorHAnsi" w:hAnsiTheme="minorHAnsi"/>
          <w:b/>
          <w:sz w:val="22"/>
          <w:szCs w:val="22"/>
        </w:rPr>
        <w:t>***</w:t>
      </w:r>
    </w:p>
    <w:p w:rsidR="00E528B6" w:rsidRPr="0008370E" w:rsidRDefault="00E528B6" w:rsidP="00043ED6">
      <w:pPr>
        <w:pStyle w:val="Nagwek3"/>
        <w:spacing w:line="276" w:lineRule="auto"/>
        <w:rPr>
          <w:rFonts w:asciiTheme="minorHAnsi" w:hAnsiTheme="minorHAnsi"/>
          <w:sz w:val="18"/>
          <w:szCs w:val="18"/>
        </w:rPr>
      </w:pPr>
      <w:r w:rsidRPr="0008370E">
        <w:rPr>
          <w:rFonts w:asciiTheme="minorHAnsi" w:hAnsiTheme="minorHAnsi"/>
          <w:sz w:val="18"/>
          <w:szCs w:val="18"/>
        </w:rPr>
        <w:t xml:space="preserve">O Grupie </w:t>
      </w:r>
      <w:proofErr w:type="spellStart"/>
      <w:r w:rsidRPr="0008370E">
        <w:rPr>
          <w:rFonts w:asciiTheme="minorHAnsi" w:hAnsiTheme="minorHAnsi"/>
          <w:sz w:val="18"/>
          <w:szCs w:val="18"/>
        </w:rPr>
        <w:t>CHWP</w:t>
      </w:r>
      <w:proofErr w:type="spellEnd"/>
    </w:p>
    <w:p w:rsidR="00E528B6" w:rsidRPr="00B04C53" w:rsidRDefault="00E528B6" w:rsidP="00043ED6">
      <w:pPr>
        <w:pStyle w:val="Nagwek3"/>
        <w:spacing w:line="276" w:lineRule="auto"/>
        <w:jc w:val="both"/>
        <w:rPr>
          <w:rFonts w:asciiTheme="minorHAnsi" w:hAnsiTheme="minorHAnsi"/>
          <w:b w:val="0"/>
          <w:sz w:val="20"/>
          <w:szCs w:val="18"/>
        </w:rPr>
      </w:pPr>
      <w:r w:rsidRPr="0008370E">
        <w:rPr>
          <w:rFonts w:asciiTheme="minorHAnsi" w:hAnsiTheme="minorHAnsi"/>
          <w:b w:val="0"/>
          <w:sz w:val="18"/>
          <w:szCs w:val="18"/>
        </w:rPr>
        <w:t xml:space="preserve">Grupa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opiera </w:t>
      </w:r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swoją </w:t>
      </w:r>
      <w:r w:rsidR="00B04C53" w:rsidRPr="0008370E">
        <w:rPr>
          <w:rFonts w:asciiTheme="minorHAnsi" w:hAnsiTheme="minorHAnsi"/>
          <w:b w:val="0"/>
          <w:sz w:val="18"/>
          <w:szCs w:val="18"/>
        </w:rPr>
        <w:t xml:space="preserve">działalność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na 3 filarach: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Law,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oraz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 xml:space="preserve">Accounting. Kancelaria Chałas i Wspólnicy  wchodząca w skład Grupy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koncentruje się na obsłudze dużego biznesu </w:t>
      </w:r>
      <w:r w:rsidR="00B04C53" w:rsidRPr="0008370E">
        <w:rPr>
          <w:rFonts w:asciiTheme="minorHAnsi" w:hAnsiTheme="minorHAnsi"/>
          <w:b w:val="0"/>
          <w:sz w:val="18"/>
          <w:szCs w:val="18"/>
        </w:rPr>
        <w:br/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 xml:space="preserve">i </w:t>
      </w:r>
      <w:r w:rsidR="00B04C53" w:rsidRPr="0008370E">
        <w:rPr>
          <w:rFonts w:asciiTheme="minorHAnsi" w:hAnsiTheme="minorHAnsi"/>
          <w:b w:val="0"/>
          <w:kern w:val="36"/>
          <w:sz w:val="18"/>
          <w:szCs w:val="18"/>
        </w:rPr>
        <w:t>s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pecjalizuje się w obsłudze podmiotów gospodarczych. Chałas i Wspólnicy jest jedną z nielicznych firm prawniczych w Polsce o globalnym zasięgu. </w:t>
      </w:r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Największym atutem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jest grono eksperckie specjalizujące się w różnych gałęziach prawa, ekonomii, finansów, rachunkowości przedsiębiorstw.  Na czele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Tax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&amp; Finance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Advisory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 stoi były wiceminister finansów dr hab., prof. </w:t>
      </w:r>
      <w:proofErr w:type="spellStart"/>
      <w:r w:rsidR="00043ED6" w:rsidRPr="0008370E">
        <w:rPr>
          <w:rFonts w:asciiTheme="minorHAnsi" w:hAnsiTheme="minorHAnsi"/>
          <w:b w:val="0"/>
          <w:sz w:val="18"/>
          <w:szCs w:val="18"/>
        </w:rPr>
        <w:t>nadzw</w:t>
      </w:r>
      <w:proofErr w:type="spellEnd"/>
      <w:r w:rsidR="00043ED6" w:rsidRPr="0008370E">
        <w:rPr>
          <w:rFonts w:asciiTheme="minorHAnsi" w:hAnsiTheme="minorHAnsi"/>
          <w:b w:val="0"/>
          <w:sz w:val="18"/>
          <w:szCs w:val="18"/>
        </w:rPr>
        <w:t xml:space="preserve">. Konrad Raczkowski. </w:t>
      </w:r>
      <w:r w:rsidRPr="0008370E">
        <w:rPr>
          <w:rFonts w:asciiTheme="minorHAnsi" w:hAnsiTheme="minorHAnsi"/>
          <w:b w:val="0"/>
          <w:sz w:val="18"/>
          <w:szCs w:val="18"/>
        </w:rPr>
        <w:t xml:space="preserve">Grupa </w:t>
      </w:r>
      <w:proofErr w:type="spellStart"/>
      <w:r w:rsidRPr="0008370E">
        <w:rPr>
          <w:rFonts w:asciiTheme="minorHAnsi" w:hAnsiTheme="minorHAnsi"/>
          <w:b w:val="0"/>
          <w:sz w:val="18"/>
          <w:szCs w:val="18"/>
        </w:rPr>
        <w:t>CHWP</w:t>
      </w:r>
      <w:proofErr w:type="spellEnd"/>
      <w:r w:rsidRPr="0008370E">
        <w:rPr>
          <w:rFonts w:asciiTheme="minorHAnsi" w:hAnsiTheme="minorHAnsi"/>
          <w:b w:val="0"/>
          <w:sz w:val="18"/>
          <w:szCs w:val="18"/>
        </w:rPr>
        <w:t xml:space="preserve"> </w:t>
      </w:r>
      <w:r w:rsidRPr="0008370E">
        <w:rPr>
          <w:rFonts w:asciiTheme="minorHAnsi" w:hAnsiTheme="minorHAnsi"/>
          <w:b w:val="0"/>
          <w:kern w:val="36"/>
          <w:sz w:val="18"/>
          <w:szCs w:val="18"/>
        </w:rPr>
        <w:t>posiada oddziały zagraniczne w Niemczech, Ukrainie oraz Kazachstanie</w:t>
      </w:r>
      <w:r w:rsidRPr="00B04C53">
        <w:rPr>
          <w:rFonts w:asciiTheme="minorHAnsi" w:hAnsiTheme="minorHAnsi"/>
          <w:b w:val="0"/>
          <w:kern w:val="36"/>
          <w:sz w:val="20"/>
          <w:szCs w:val="18"/>
        </w:rPr>
        <w:t>.</w:t>
      </w:r>
      <w:r w:rsidRPr="00B04C53">
        <w:rPr>
          <w:rFonts w:asciiTheme="minorHAnsi" w:hAnsiTheme="minorHAnsi"/>
          <w:b w:val="0"/>
          <w:sz w:val="20"/>
          <w:szCs w:val="18"/>
        </w:rPr>
        <w:t xml:space="preserve"> </w:t>
      </w:r>
    </w:p>
    <w:sectPr w:rsidR="00E528B6" w:rsidRPr="00B04C53" w:rsidSect="00AC3F7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43" w:rsidRDefault="00751D43" w:rsidP="00E528B6">
      <w:r>
        <w:separator/>
      </w:r>
    </w:p>
  </w:endnote>
  <w:endnote w:type="continuationSeparator" w:id="0">
    <w:p w:rsidR="00751D43" w:rsidRDefault="00751D43" w:rsidP="00E5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49" w:rsidRDefault="00751D43">
    <w:pPr>
      <w:pStyle w:val="Stopka"/>
      <w:jc w:val="center"/>
      <w:rPr>
        <w:rFonts w:ascii="Calibri" w:hAnsi="Calibri"/>
        <w:color w:val="7F7F7F"/>
        <w:sz w:val="18"/>
        <w:szCs w:val="18"/>
      </w:rPr>
    </w:pPr>
  </w:p>
  <w:p w:rsidR="00B81049" w:rsidRPr="00C44944" w:rsidRDefault="00D82E0A">
    <w:pPr>
      <w:pStyle w:val="Stopka"/>
      <w:jc w:val="center"/>
      <w:rPr>
        <w:rFonts w:ascii="Calibri" w:hAnsi="Calibri"/>
        <w:color w:val="7F7F7F"/>
        <w:sz w:val="18"/>
        <w:szCs w:val="18"/>
      </w:rPr>
    </w:pPr>
    <w:r w:rsidRPr="00C44944">
      <w:rPr>
        <w:rFonts w:ascii="Calibri" w:hAnsi="Calibri"/>
        <w:color w:val="7F7F7F"/>
        <w:sz w:val="18"/>
        <w:szCs w:val="18"/>
      </w:rPr>
      <w:fldChar w:fldCharType="begin"/>
    </w:r>
    <w:r w:rsidRPr="00C44944">
      <w:rPr>
        <w:rFonts w:ascii="Calibri" w:hAnsi="Calibri"/>
        <w:color w:val="7F7F7F"/>
        <w:sz w:val="18"/>
        <w:szCs w:val="18"/>
      </w:rPr>
      <w:instrText xml:space="preserve"> PAGE   \* MERGEFORMAT </w:instrText>
    </w:r>
    <w:r w:rsidRPr="00C44944">
      <w:rPr>
        <w:rFonts w:ascii="Calibri" w:hAnsi="Calibri"/>
        <w:color w:val="7F7F7F"/>
        <w:sz w:val="18"/>
        <w:szCs w:val="18"/>
      </w:rPr>
      <w:fldChar w:fldCharType="separate"/>
    </w:r>
    <w:r w:rsidR="001F673C">
      <w:rPr>
        <w:rFonts w:ascii="Calibri" w:hAnsi="Calibri"/>
        <w:noProof/>
        <w:color w:val="7F7F7F"/>
        <w:sz w:val="18"/>
        <w:szCs w:val="18"/>
      </w:rPr>
      <w:t>2</w:t>
    </w:r>
    <w:r w:rsidRPr="00C44944">
      <w:rPr>
        <w:rFonts w:ascii="Calibri" w:hAnsi="Calibri"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C6" w:rsidRPr="00AC3F7A" w:rsidRDefault="00D82E0A" w:rsidP="00AC3F7A">
    <w:pPr>
      <w:pStyle w:val="Stopka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43" w:rsidRDefault="00751D43" w:rsidP="00E528B6">
      <w:r>
        <w:separator/>
      </w:r>
    </w:p>
  </w:footnote>
  <w:footnote w:type="continuationSeparator" w:id="0">
    <w:p w:rsidR="00751D43" w:rsidRDefault="00751D43" w:rsidP="00E5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E9" w:rsidRPr="006A31AB" w:rsidRDefault="00E528B6" w:rsidP="00E528B6">
    <w:pPr>
      <w:pStyle w:val="Nagwek"/>
      <w:tabs>
        <w:tab w:val="clear" w:pos="4677"/>
        <w:tab w:val="clear" w:pos="9355"/>
        <w:tab w:val="center" w:pos="4536"/>
      </w:tabs>
      <w:ind w:right="-1"/>
    </w:pPr>
    <w:r>
      <w:rPr>
        <w:noProof/>
      </w:rPr>
      <w:drawing>
        <wp:inline distT="0" distB="0" distL="0" distR="0">
          <wp:extent cx="1137684" cy="1104027"/>
          <wp:effectExtent l="0" t="0" r="5715" b="1270"/>
          <wp:docPr id="1" name="Obraz 1" descr="C:\Users\kbandurski\Documents\Logo\Chalas-logo-05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ndurski\Documents\Logo\Chalas-logo-05-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6" cy="111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77D"/>
    <w:multiLevelType w:val="hybridMultilevel"/>
    <w:tmpl w:val="79FE726C"/>
    <w:lvl w:ilvl="0" w:tplc="C30E98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6"/>
    <w:rsid w:val="00043ED6"/>
    <w:rsid w:val="0008370E"/>
    <w:rsid w:val="00140BE3"/>
    <w:rsid w:val="001F673C"/>
    <w:rsid w:val="0032243B"/>
    <w:rsid w:val="00370477"/>
    <w:rsid w:val="003E726E"/>
    <w:rsid w:val="00421F81"/>
    <w:rsid w:val="00441AF0"/>
    <w:rsid w:val="0058705B"/>
    <w:rsid w:val="006D695A"/>
    <w:rsid w:val="00751D43"/>
    <w:rsid w:val="008C2B91"/>
    <w:rsid w:val="009F46F8"/>
    <w:rsid w:val="00B04C53"/>
    <w:rsid w:val="00BD0A0D"/>
    <w:rsid w:val="00D469BC"/>
    <w:rsid w:val="00D512D4"/>
    <w:rsid w:val="00D615D7"/>
    <w:rsid w:val="00D82E0A"/>
    <w:rsid w:val="00DC584E"/>
    <w:rsid w:val="00E528B6"/>
    <w:rsid w:val="00E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2778"/>
  <w15:chartTrackingRefBased/>
  <w15:docId w15:val="{C6DD31A9-E30A-4A49-8A5F-A9A5FE1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28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528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E528B6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8B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8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837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kbandurski</dc:creator>
  <cp:keywords/>
  <dc:description/>
  <cp:lastModifiedBy>kbandurski</cp:lastModifiedBy>
  <cp:revision>3</cp:revision>
  <dcterms:created xsi:type="dcterms:W3CDTF">2018-02-28T12:00:00Z</dcterms:created>
  <dcterms:modified xsi:type="dcterms:W3CDTF">2018-02-28T14:52:00Z</dcterms:modified>
</cp:coreProperties>
</file>