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Acer z najwyższym zyskiem od sześciu lat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Rekordowa sprzedaż modeli z serii Predator przeznaczonych na rynek gamingowy oraz popyt na laptopy biznesowe spowodowały, że w trzecim kwartale 2017 roku dochód netto Acera wyniósł 48 mln dolarów (USD). To najwyższy wynik od dwudziestu siedmiu kwartałów oraz blisko sześciokrotnie wyższy niż w analogicznym okresie w poprzednim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Globalny rynek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Skonsolidowane przychody wyniosły ponad 2 miliardy dolarów i jest to wzrost o 13% kwartał do kwartału. Natomiast przy marży brutto wynoszącej 11,1% zyski brutto wyniosły 222 mln dolarów i są większe o 20% niż rok wcześniej. Oznacza to silną dynamikę działalności firmy, stabilizację działalności operacyjnej i rentowności.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Wzrost przychodów w trzecim kwartale 2017 roku wynika w dużej mierze z przychodów ze sprzętu gamingowego Acer, które wzrosły o 168% i przyczyniły się rok do roku do ponad 10% przychodów ogółem. Przychody z laptopów biznesowych wzrosły o 40% rok do roku, a z chromebooków o 27%. Inne działalności Acera jak usługi w chmurze, rzeczywistość wirtualna (VR) i rzeczywistość rozszerzona (AR) pozwoliły na wzrost o 30% rok do roku.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