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2DC" w:rsidRDefault="009162DC" w:rsidP="009162DC">
      <w:pPr>
        <w:pStyle w:val="Nagwek1"/>
        <w:keepNext w:val="0"/>
        <w:spacing w:after="160"/>
        <w:jc w:val="left"/>
        <w:rPr>
          <w:rFonts w:ascii="Segoe UI Light" w:hAnsi="Segoe UI Light" w:cs="Segoe UI"/>
          <w:b w:val="0"/>
          <w:bCs w:val="0"/>
          <w:caps w:val="0"/>
          <w:color w:val="000000" w:themeColor="text1"/>
          <w:sz w:val="42"/>
          <w:szCs w:val="42"/>
          <w:lang w:val="pl-PL"/>
        </w:rPr>
      </w:pPr>
    </w:p>
    <w:p w:rsidR="009162DC" w:rsidRPr="009162DC" w:rsidRDefault="009162DC" w:rsidP="009162DC">
      <w:pPr>
        <w:pStyle w:val="Nagwek1"/>
        <w:keepNext w:val="0"/>
        <w:spacing w:after="160"/>
        <w:jc w:val="left"/>
        <w:rPr>
          <w:rFonts w:ascii="Segoe UI Light" w:hAnsi="Segoe UI Light" w:cs="Segoe UI"/>
          <w:b w:val="0"/>
          <w:bCs w:val="0"/>
          <w:caps w:val="0"/>
          <w:color w:val="000000" w:themeColor="text1"/>
          <w:sz w:val="42"/>
          <w:szCs w:val="42"/>
          <w:lang w:val="pl-PL"/>
        </w:rPr>
      </w:pPr>
      <w:r w:rsidRPr="009162DC">
        <w:rPr>
          <w:rFonts w:ascii="Segoe UI Light" w:hAnsi="Segoe UI Light" w:cs="Segoe UI"/>
          <w:b w:val="0"/>
          <w:bCs w:val="0"/>
          <w:caps w:val="0"/>
          <w:color w:val="000000" w:themeColor="text1"/>
          <w:sz w:val="42"/>
          <w:szCs w:val="42"/>
          <w:lang w:val="pl-PL"/>
        </w:rPr>
        <w:t xml:space="preserve">Strategie </w:t>
      </w:r>
      <w:r w:rsidR="007701D3">
        <w:rPr>
          <w:rFonts w:ascii="Segoe UI Light" w:hAnsi="Segoe UI Light" w:cs="Segoe UI"/>
          <w:b w:val="0"/>
          <w:bCs w:val="0"/>
          <w:caps w:val="0"/>
          <w:color w:val="000000" w:themeColor="text1"/>
          <w:sz w:val="42"/>
          <w:szCs w:val="42"/>
          <w:lang w:val="pl-PL"/>
        </w:rPr>
        <w:t>rozwoju</w:t>
      </w:r>
      <w:r w:rsidR="007701D3" w:rsidRPr="009162DC">
        <w:rPr>
          <w:rFonts w:ascii="Segoe UI Light" w:hAnsi="Segoe UI Light" w:cs="Segoe UI"/>
          <w:b w:val="0"/>
          <w:bCs w:val="0"/>
          <w:caps w:val="0"/>
          <w:color w:val="000000" w:themeColor="text1"/>
          <w:sz w:val="42"/>
          <w:szCs w:val="42"/>
          <w:lang w:val="pl-PL"/>
        </w:rPr>
        <w:t xml:space="preserve"> </w:t>
      </w:r>
      <w:r w:rsidRPr="009162DC">
        <w:rPr>
          <w:rFonts w:ascii="Segoe UI Light" w:hAnsi="Segoe UI Light" w:cs="Segoe UI"/>
          <w:b w:val="0"/>
          <w:bCs w:val="0"/>
          <w:caps w:val="0"/>
          <w:color w:val="000000" w:themeColor="text1"/>
          <w:sz w:val="42"/>
          <w:szCs w:val="42"/>
          <w:lang w:val="pl-PL"/>
        </w:rPr>
        <w:t xml:space="preserve">klientów: </w:t>
      </w:r>
      <w:r w:rsidR="007701D3" w:rsidRPr="009162DC">
        <w:rPr>
          <w:rFonts w:ascii="Segoe UI Light" w:hAnsi="Segoe UI Light" w:cs="Segoe UI"/>
          <w:b w:val="0"/>
          <w:bCs w:val="0"/>
          <w:caps w:val="0"/>
          <w:color w:val="000000" w:themeColor="text1"/>
          <w:sz w:val="42"/>
          <w:szCs w:val="42"/>
          <w:lang w:val="pl-PL"/>
        </w:rPr>
        <w:t>NAJBARDZIEJ POŻĄ</w:t>
      </w:r>
      <w:r w:rsidR="007701D3">
        <w:rPr>
          <w:rFonts w:ascii="Segoe UI Light" w:hAnsi="Segoe UI Light" w:cs="Segoe UI"/>
          <w:b w:val="0"/>
          <w:bCs w:val="0"/>
          <w:caps w:val="0"/>
          <w:color w:val="000000" w:themeColor="text1"/>
          <w:sz w:val="42"/>
          <w:szCs w:val="42"/>
          <w:lang w:val="pl-PL"/>
        </w:rPr>
        <w:t>DANE LOKALIZACJE LOGISTYCZNE W E</w:t>
      </w:r>
      <w:r w:rsidR="007701D3" w:rsidRPr="009162DC">
        <w:rPr>
          <w:rFonts w:ascii="Segoe UI Light" w:hAnsi="Segoe UI Light" w:cs="Segoe UI"/>
          <w:b w:val="0"/>
          <w:bCs w:val="0"/>
          <w:caps w:val="0"/>
          <w:color w:val="000000" w:themeColor="text1"/>
          <w:sz w:val="42"/>
          <w:szCs w:val="42"/>
          <w:lang w:val="pl-PL"/>
        </w:rPr>
        <w:t>UROPIE</w:t>
      </w:r>
    </w:p>
    <w:p w:rsidR="009162DC" w:rsidRPr="009162DC" w:rsidRDefault="007532BC" w:rsidP="009162DC">
      <w:pPr>
        <w:rPr>
          <w:lang w:val="pl-PL"/>
        </w:rPr>
      </w:pPr>
      <w:r>
        <w:rPr>
          <w:lang w:val="pl-PL"/>
        </w:rPr>
        <w:t>Podczas gdy w E</w:t>
      </w:r>
      <w:r w:rsidR="009162DC" w:rsidRPr="009162DC">
        <w:rPr>
          <w:lang w:val="pl-PL"/>
        </w:rPr>
        <w:t>uropie łańcuchy dostaw stale ewoluują, lokalizacja pozostaje najważniejszym czynnikiem</w:t>
      </w:r>
    </w:p>
    <w:p w:rsidR="009162DC" w:rsidRPr="009162DC" w:rsidRDefault="009162DC" w:rsidP="009162DC">
      <w:pPr>
        <w:rPr>
          <w:lang w:val="pl-PL"/>
        </w:rPr>
      </w:pPr>
      <w:r w:rsidRPr="009162DC">
        <w:rPr>
          <w:sz w:val="20"/>
          <w:szCs w:val="20"/>
          <w:lang w:val="pl-PL"/>
        </w:rPr>
        <w:t>Październik 2017</w:t>
      </w:r>
    </w:p>
    <w:p w:rsidR="009162DC" w:rsidRPr="009162DC" w:rsidRDefault="009162DC" w:rsidP="009162DC">
      <w:pPr>
        <w:rPr>
          <w:lang w:val="pl-PL"/>
        </w:rPr>
      </w:pPr>
      <w:r w:rsidRPr="009162DC">
        <w:rPr>
          <w:lang w:val="pl-PL"/>
        </w:rPr>
        <w:t xml:space="preserve">Europejski rynek logistyczny dynamicznie się zmienia. Łańcuchy dostaw są przekształcane, gospodarki się rozwijają, a e-handel nabiera tempa. Chcąc zrozumieć, jak te zmiany wpłyną na rynek nieruchomości i preferencje dotyczące lokalizacji, </w:t>
      </w:r>
      <w:proofErr w:type="spellStart"/>
      <w:r w:rsidRPr="009162DC">
        <w:rPr>
          <w:lang w:val="pl-PL"/>
        </w:rPr>
        <w:t>Prologis</w:t>
      </w:r>
      <w:proofErr w:type="spellEnd"/>
      <w:r w:rsidRPr="009162DC">
        <w:rPr>
          <w:lang w:val="pl-PL"/>
        </w:rPr>
        <w:t xml:space="preserve"> </w:t>
      </w:r>
      <w:proofErr w:type="spellStart"/>
      <w:r w:rsidRPr="009162DC">
        <w:rPr>
          <w:lang w:val="pl-PL"/>
        </w:rPr>
        <w:t>Research</w:t>
      </w:r>
      <w:proofErr w:type="spellEnd"/>
      <w:r w:rsidRPr="009162DC">
        <w:rPr>
          <w:lang w:val="pl-PL"/>
        </w:rPr>
        <w:t xml:space="preserve"> i </w:t>
      </w:r>
      <w:proofErr w:type="spellStart"/>
      <w:r w:rsidRPr="009162DC">
        <w:rPr>
          <w:lang w:val="pl-PL"/>
        </w:rPr>
        <w:t>eyefortransport</w:t>
      </w:r>
      <w:proofErr w:type="spellEnd"/>
      <w:r w:rsidRPr="009162DC">
        <w:rPr>
          <w:lang w:val="pl-PL"/>
        </w:rPr>
        <w:t xml:space="preserve"> (EFT) przeprowadziły sondaż wśród operatorów logistycznych w całej Europie, aby poznać najważniejsze kryteria i prosperujące lokalizacje. Badania były prowadzone od lutego do maja 2017 roku, i wzięło w nich udział 280 respondentów z różnych sektorów, od detalicznego przez motoryzacyjny po elektroniczny. </w:t>
      </w:r>
    </w:p>
    <w:p w:rsidR="009162DC" w:rsidRPr="009162DC" w:rsidRDefault="009162DC" w:rsidP="009162DC">
      <w:pPr>
        <w:rPr>
          <w:lang w:val="pl-PL"/>
        </w:rPr>
      </w:pPr>
      <w:r w:rsidRPr="009162DC">
        <w:rPr>
          <w:lang w:val="pl-PL"/>
        </w:rPr>
        <w:t>Niniejszy raport stanowi kontynuację naszych dotychczasowych badań</w:t>
      </w:r>
      <w:r w:rsidRPr="009162DC">
        <w:rPr>
          <w:b/>
          <w:bCs/>
          <w:lang w:val="pl-PL"/>
        </w:rPr>
        <w:t xml:space="preserve"> </w:t>
      </w:r>
      <w:r w:rsidRPr="009162DC">
        <w:rPr>
          <w:lang w:val="pl-PL"/>
        </w:rPr>
        <w:t xml:space="preserve">dotyczących lokalizacji, </w:t>
      </w:r>
      <w:r w:rsidR="00FF4FD5">
        <w:rPr>
          <w:lang w:val="pl-PL"/>
        </w:rPr>
        <w:t>w których</w:t>
      </w:r>
      <w:r w:rsidRPr="009162DC">
        <w:rPr>
          <w:lang w:val="pl-PL"/>
        </w:rPr>
        <w:t xml:space="preserve"> wskazaliśmy czynniki determinujące wybór nowych lokalizacji w Europie. </w:t>
      </w:r>
    </w:p>
    <w:p w:rsidR="009162DC" w:rsidRPr="009162DC" w:rsidRDefault="009162DC" w:rsidP="009162DC">
      <w:pPr>
        <w:rPr>
          <w:lang w:val="pl-PL"/>
        </w:rPr>
      </w:pPr>
      <w:r w:rsidRPr="009162DC">
        <w:rPr>
          <w:lang w:val="pl-PL"/>
        </w:rPr>
        <w:t>Poniższa tabela przedstawia ranking państw (na 100 przebadanych lokalizacji europejskich) według poszczególnych czynników:</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928"/>
        <w:gridCol w:w="1927"/>
        <w:gridCol w:w="1927"/>
        <w:gridCol w:w="1929"/>
      </w:tblGrid>
      <w:tr w:rsidR="009162DC" w:rsidRPr="009162DC" w:rsidTr="009162DC">
        <w:tc>
          <w:tcPr>
            <w:tcW w:w="1927" w:type="dxa"/>
            <w:tcBorders>
              <w:top w:val="single" w:sz="1" w:space="0" w:color="000000"/>
              <w:left w:val="single" w:sz="1" w:space="0" w:color="000000"/>
              <w:bottom w:val="single" w:sz="1" w:space="0" w:color="000000"/>
            </w:tcBorders>
            <w:shd w:val="clear" w:color="auto" w:fill="auto"/>
          </w:tcPr>
          <w:p w:rsidR="009162DC" w:rsidRPr="009162DC" w:rsidRDefault="00FF4FD5" w:rsidP="00D84B45">
            <w:pPr>
              <w:pStyle w:val="Zawartotabeli"/>
              <w:rPr>
                <w:rFonts w:ascii="Segoe UI" w:hAnsi="Segoe UI" w:cs="Segoe UI"/>
                <w:sz w:val="22"/>
              </w:rPr>
            </w:pPr>
            <w:r w:rsidRPr="009162DC">
              <w:rPr>
                <w:rFonts w:ascii="Segoe UI" w:hAnsi="Segoe UI" w:cs="Segoe UI"/>
                <w:sz w:val="22"/>
              </w:rPr>
              <w:t>BLISKOŚĆ</w:t>
            </w:r>
            <w:r w:rsidR="009162DC" w:rsidRPr="009162DC">
              <w:rPr>
                <w:rFonts w:ascii="Segoe UI" w:hAnsi="Segoe UI" w:cs="Segoe UI"/>
                <w:sz w:val="22"/>
              </w:rPr>
              <w:t xml:space="preserve"> głównych centrów konsumpcji </w:t>
            </w:r>
          </w:p>
        </w:tc>
        <w:tc>
          <w:tcPr>
            <w:tcW w:w="1928" w:type="dxa"/>
            <w:tcBorders>
              <w:top w:val="single" w:sz="1" w:space="0" w:color="000000"/>
              <w:left w:val="single" w:sz="1" w:space="0" w:color="000000"/>
              <w:bottom w:val="single" w:sz="1" w:space="0" w:color="000000"/>
            </w:tcBorders>
            <w:shd w:val="clear" w:color="auto" w:fill="auto"/>
          </w:tcPr>
          <w:p w:rsidR="009162DC" w:rsidRPr="009162DC" w:rsidRDefault="00FF4FD5" w:rsidP="00D84B45">
            <w:pPr>
              <w:pStyle w:val="Zawartotabeli"/>
              <w:rPr>
                <w:rFonts w:ascii="Segoe UI" w:hAnsi="Segoe UI" w:cs="Segoe UI"/>
                <w:sz w:val="22"/>
              </w:rPr>
            </w:pPr>
            <w:r w:rsidRPr="009162DC">
              <w:rPr>
                <w:rFonts w:ascii="Segoe UI" w:hAnsi="Segoe UI" w:cs="Segoe UI"/>
                <w:sz w:val="22"/>
              </w:rPr>
              <w:t xml:space="preserve">OTOCZENIE REGULACYJNE </w:t>
            </w:r>
          </w:p>
        </w:tc>
        <w:tc>
          <w:tcPr>
            <w:tcW w:w="1927" w:type="dxa"/>
            <w:tcBorders>
              <w:top w:val="single" w:sz="1" w:space="0" w:color="000000"/>
              <w:left w:val="single" w:sz="1" w:space="0" w:color="000000"/>
              <w:bottom w:val="single" w:sz="1" w:space="0" w:color="000000"/>
            </w:tcBorders>
            <w:shd w:val="clear" w:color="auto" w:fill="auto"/>
          </w:tcPr>
          <w:p w:rsidR="009162DC" w:rsidRPr="009162DC" w:rsidRDefault="00FF4FD5" w:rsidP="00D84B45">
            <w:pPr>
              <w:pStyle w:val="Zawartotabeli"/>
              <w:rPr>
                <w:rFonts w:ascii="Segoe UI" w:hAnsi="Segoe UI" w:cs="Segoe UI"/>
                <w:sz w:val="22"/>
              </w:rPr>
            </w:pPr>
            <w:r w:rsidRPr="009162DC">
              <w:rPr>
                <w:rFonts w:ascii="Segoe UI" w:hAnsi="Segoe UI" w:cs="Segoe UI"/>
                <w:sz w:val="22"/>
              </w:rPr>
              <w:t>DOSTĘPNOŚĆ PRACOWNIKÓW</w:t>
            </w:r>
          </w:p>
        </w:tc>
        <w:tc>
          <w:tcPr>
            <w:tcW w:w="1927" w:type="dxa"/>
            <w:tcBorders>
              <w:top w:val="single" w:sz="1" w:space="0" w:color="000000"/>
              <w:left w:val="single" w:sz="1" w:space="0" w:color="000000"/>
              <w:bottom w:val="single" w:sz="1" w:space="0" w:color="000000"/>
            </w:tcBorders>
            <w:shd w:val="clear" w:color="auto" w:fill="auto"/>
          </w:tcPr>
          <w:p w:rsidR="009162DC" w:rsidRPr="009162DC" w:rsidRDefault="00FF4FD5" w:rsidP="00D84B45">
            <w:pPr>
              <w:pStyle w:val="Zawartotabeli"/>
              <w:rPr>
                <w:rFonts w:ascii="Segoe UI" w:hAnsi="Segoe UI" w:cs="Segoe UI"/>
                <w:sz w:val="22"/>
              </w:rPr>
            </w:pPr>
            <w:r w:rsidRPr="009162DC">
              <w:rPr>
                <w:rFonts w:ascii="Segoe UI" w:hAnsi="Segoe UI" w:cs="Segoe UI"/>
                <w:sz w:val="22"/>
              </w:rPr>
              <w:t xml:space="preserve">INFRASTRUKTURA </w:t>
            </w:r>
            <w:r w:rsidR="009162DC" w:rsidRPr="009162DC">
              <w:rPr>
                <w:rFonts w:ascii="Segoe UI" w:hAnsi="Segoe UI" w:cs="Segoe UI"/>
                <w:sz w:val="22"/>
              </w:rPr>
              <w:t xml:space="preserve">transportowa </w:t>
            </w:r>
          </w:p>
        </w:tc>
        <w:tc>
          <w:tcPr>
            <w:tcW w:w="1929" w:type="dxa"/>
            <w:tcBorders>
              <w:top w:val="single" w:sz="1" w:space="0" w:color="000000"/>
              <w:left w:val="single" w:sz="1" w:space="0" w:color="000000"/>
              <w:bottom w:val="single" w:sz="1" w:space="0" w:color="000000"/>
              <w:right w:val="single" w:sz="1" w:space="0" w:color="000000"/>
            </w:tcBorders>
            <w:shd w:val="clear" w:color="auto" w:fill="auto"/>
          </w:tcPr>
          <w:p w:rsidR="009162DC" w:rsidRPr="009162DC" w:rsidRDefault="009162DC" w:rsidP="00D84B45">
            <w:pPr>
              <w:pStyle w:val="Zawartotabeli"/>
              <w:rPr>
                <w:rFonts w:ascii="Segoe UI" w:hAnsi="Segoe UI" w:cs="Segoe UI"/>
                <w:sz w:val="22"/>
              </w:rPr>
            </w:pPr>
            <w:r w:rsidRPr="009162DC">
              <w:rPr>
                <w:rFonts w:ascii="Segoe UI" w:hAnsi="Segoe UI" w:cs="Segoe UI"/>
                <w:sz w:val="22"/>
              </w:rPr>
              <w:t>Całkowity koszt/ PROPOZYCJA WARTOŚCI</w:t>
            </w:r>
          </w:p>
        </w:tc>
      </w:tr>
      <w:tr w:rsidR="009162DC" w:rsidRPr="009162DC" w:rsidTr="009162DC">
        <w:tc>
          <w:tcPr>
            <w:tcW w:w="1927" w:type="dxa"/>
            <w:tcBorders>
              <w:left w:val="single" w:sz="1" w:space="0" w:color="000000"/>
              <w:bottom w:val="single" w:sz="1" w:space="0" w:color="000000"/>
            </w:tcBorders>
            <w:shd w:val="clear" w:color="auto" w:fill="auto"/>
          </w:tcPr>
          <w:p w:rsidR="009162DC" w:rsidRPr="009162DC" w:rsidRDefault="009162DC" w:rsidP="00D84B45">
            <w:pPr>
              <w:pStyle w:val="Zawartotabeli"/>
              <w:rPr>
                <w:rFonts w:ascii="Segoe UI" w:hAnsi="Segoe UI" w:cs="Segoe UI"/>
                <w:sz w:val="22"/>
              </w:rPr>
            </w:pPr>
            <w:r w:rsidRPr="009162DC">
              <w:rPr>
                <w:rFonts w:ascii="Segoe UI" w:hAnsi="Segoe UI" w:cs="Segoe UI"/>
                <w:sz w:val="22"/>
              </w:rPr>
              <w:t xml:space="preserve">1. Niemcy </w:t>
            </w:r>
            <w:r w:rsidRPr="009162DC">
              <w:rPr>
                <w:rFonts w:ascii="Segoe UI" w:hAnsi="Segoe UI" w:cs="Segoe UI"/>
                <w:sz w:val="22"/>
              </w:rPr>
              <w:br/>
              <w:t xml:space="preserve">2. Holandia </w:t>
            </w:r>
            <w:r w:rsidRPr="009162DC">
              <w:rPr>
                <w:rFonts w:ascii="Segoe UI" w:hAnsi="Segoe UI" w:cs="Segoe UI"/>
                <w:sz w:val="22"/>
              </w:rPr>
              <w:br/>
              <w:t xml:space="preserve">3. Belgia </w:t>
            </w:r>
            <w:r w:rsidRPr="009162DC">
              <w:rPr>
                <w:rFonts w:ascii="Segoe UI" w:hAnsi="Segoe UI" w:cs="Segoe UI"/>
                <w:sz w:val="22"/>
              </w:rPr>
              <w:br/>
              <w:t xml:space="preserve">4. Wielka Brytania </w:t>
            </w:r>
            <w:r w:rsidRPr="009162DC">
              <w:rPr>
                <w:rFonts w:ascii="Segoe UI" w:hAnsi="Segoe UI" w:cs="Segoe UI"/>
                <w:sz w:val="22"/>
              </w:rPr>
              <w:br/>
              <w:t xml:space="preserve">5. Francja </w:t>
            </w:r>
          </w:p>
        </w:tc>
        <w:tc>
          <w:tcPr>
            <w:tcW w:w="1928" w:type="dxa"/>
            <w:tcBorders>
              <w:left w:val="single" w:sz="1" w:space="0" w:color="000000"/>
              <w:bottom w:val="single" w:sz="1" w:space="0" w:color="000000"/>
            </w:tcBorders>
            <w:shd w:val="clear" w:color="auto" w:fill="auto"/>
          </w:tcPr>
          <w:p w:rsidR="009162DC" w:rsidRPr="009162DC" w:rsidRDefault="009162DC" w:rsidP="00D84B45">
            <w:pPr>
              <w:pStyle w:val="Zawartotabeli"/>
              <w:rPr>
                <w:rFonts w:ascii="Segoe UI" w:hAnsi="Segoe UI" w:cs="Segoe UI"/>
                <w:sz w:val="22"/>
              </w:rPr>
            </w:pPr>
            <w:r w:rsidRPr="009162DC">
              <w:rPr>
                <w:rFonts w:ascii="Segoe UI" w:hAnsi="Segoe UI" w:cs="Segoe UI"/>
                <w:sz w:val="22"/>
              </w:rPr>
              <w:t xml:space="preserve">1. Holandia </w:t>
            </w:r>
          </w:p>
          <w:p w:rsidR="009162DC" w:rsidRPr="009162DC" w:rsidRDefault="009162DC" w:rsidP="00D84B45">
            <w:pPr>
              <w:pStyle w:val="Zawartotabeli"/>
              <w:rPr>
                <w:rFonts w:ascii="Segoe UI" w:hAnsi="Segoe UI" w:cs="Segoe UI"/>
                <w:sz w:val="22"/>
              </w:rPr>
            </w:pPr>
            <w:r w:rsidRPr="009162DC">
              <w:rPr>
                <w:rFonts w:ascii="Segoe UI" w:hAnsi="Segoe UI" w:cs="Segoe UI"/>
                <w:sz w:val="22"/>
              </w:rPr>
              <w:t>2. Pozostałe kraje Europy Środkowo-Wschodniej*</w:t>
            </w:r>
          </w:p>
          <w:p w:rsidR="009162DC" w:rsidRPr="009162DC" w:rsidRDefault="009162DC" w:rsidP="00D84B45">
            <w:pPr>
              <w:pStyle w:val="Zawartotabeli"/>
              <w:rPr>
                <w:rFonts w:ascii="Segoe UI" w:hAnsi="Segoe UI" w:cs="Segoe UI"/>
                <w:sz w:val="22"/>
              </w:rPr>
            </w:pPr>
            <w:r w:rsidRPr="009162DC">
              <w:rPr>
                <w:rFonts w:ascii="Segoe UI" w:hAnsi="Segoe UI" w:cs="Segoe UI"/>
                <w:sz w:val="22"/>
              </w:rPr>
              <w:t xml:space="preserve">3. Polska </w:t>
            </w:r>
          </w:p>
          <w:p w:rsidR="009162DC" w:rsidRPr="009162DC" w:rsidRDefault="009162DC" w:rsidP="00D84B45">
            <w:pPr>
              <w:pStyle w:val="Zawartotabeli"/>
              <w:rPr>
                <w:rFonts w:ascii="Segoe UI" w:hAnsi="Segoe UI" w:cs="Segoe UI"/>
                <w:sz w:val="22"/>
              </w:rPr>
            </w:pPr>
            <w:r w:rsidRPr="009162DC">
              <w:rPr>
                <w:rFonts w:ascii="Segoe UI" w:hAnsi="Segoe UI" w:cs="Segoe UI"/>
                <w:sz w:val="22"/>
              </w:rPr>
              <w:t xml:space="preserve">4. Niemcy </w:t>
            </w:r>
          </w:p>
          <w:p w:rsidR="009162DC" w:rsidRPr="009162DC" w:rsidRDefault="009162DC" w:rsidP="00D84B45">
            <w:pPr>
              <w:pStyle w:val="Zawartotabeli"/>
              <w:rPr>
                <w:rFonts w:ascii="Segoe UI" w:hAnsi="Segoe UI" w:cs="Segoe UI"/>
                <w:sz w:val="22"/>
              </w:rPr>
            </w:pPr>
            <w:r w:rsidRPr="009162DC">
              <w:rPr>
                <w:rFonts w:ascii="Segoe UI" w:hAnsi="Segoe UI" w:cs="Segoe UI"/>
                <w:sz w:val="22"/>
              </w:rPr>
              <w:t>5. Wielka Brytania</w:t>
            </w:r>
          </w:p>
        </w:tc>
        <w:tc>
          <w:tcPr>
            <w:tcW w:w="1927" w:type="dxa"/>
            <w:tcBorders>
              <w:left w:val="single" w:sz="1" w:space="0" w:color="000000"/>
              <w:bottom w:val="single" w:sz="1" w:space="0" w:color="000000"/>
            </w:tcBorders>
            <w:shd w:val="clear" w:color="auto" w:fill="auto"/>
          </w:tcPr>
          <w:p w:rsidR="009162DC" w:rsidRPr="009162DC" w:rsidRDefault="009162DC" w:rsidP="00D84B45">
            <w:pPr>
              <w:pStyle w:val="Zawartotabeli"/>
              <w:rPr>
                <w:rFonts w:ascii="Segoe UI" w:hAnsi="Segoe UI" w:cs="Segoe UI"/>
                <w:sz w:val="22"/>
              </w:rPr>
            </w:pPr>
            <w:r w:rsidRPr="009162DC">
              <w:rPr>
                <w:rFonts w:ascii="Segoe UI" w:hAnsi="Segoe UI" w:cs="Segoe UI"/>
                <w:sz w:val="22"/>
              </w:rPr>
              <w:t xml:space="preserve">1. Polska </w:t>
            </w:r>
          </w:p>
          <w:p w:rsidR="009162DC" w:rsidRPr="009162DC" w:rsidRDefault="009162DC" w:rsidP="00D84B45">
            <w:pPr>
              <w:pStyle w:val="Zawartotabeli"/>
              <w:rPr>
                <w:rFonts w:ascii="Segoe UI" w:hAnsi="Segoe UI" w:cs="Segoe UI"/>
                <w:sz w:val="22"/>
              </w:rPr>
            </w:pPr>
            <w:r w:rsidRPr="009162DC">
              <w:rPr>
                <w:rFonts w:ascii="Segoe UI" w:hAnsi="Segoe UI" w:cs="Segoe UI"/>
                <w:sz w:val="22"/>
              </w:rPr>
              <w:t xml:space="preserve">2. Holandia </w:t>
            </w:r>
          </w:p>
          <w:p w:rsidR="009162DC" w:rsidRPr="009162DC" w:rsidRDefault="009162DC" w:rsidP="00D84B45">
            <w:pPr>
              <w:pStyle w:val="Zawartotabeli"/>
              <w:rPr>
                <w:rFonts w:ascii="Segoe UI" w:hAnsi="Segoe UI" w:cs="Segoe UI"/>
                <w:sz w:val="22"/>
              </w:rPr>
            </w:pPr>
            <w:r w:rsidRPr="009162DC">
              <w:rPr>
                <w:rFonts w:ascii="Segoe UI" w:hAnsi="Segoe UI" w:cs="Segoe UI"/>
                <w:sz w:val="22"/>
              </w:rPr>
              <w:t>3. Pozostałe kraje Europy Środkowo-Wschodniej*</w:t>
            </w:r>
          </w:p>
          <w:p w:rsidR="009162DC" w:rsidRPr="009162DC" w:rsidRDefault="009162DC" w:rsidP="00D84B45">
            <w:pPr>
              <w:pStyle w:val="Zawartotabeli"/>
              <w:rPr>
                <w:rFonts w:ascii="Segoe UI" w:hAnsi="Segoe UI" w:cs="Segoe UI"/>
                <w:sz w:val="22"/>
              </w:rPr>
            </w:pPr>
            <w:r w:rsidRPr="009162DC">
              <w:rPr>
                <w:rFonts w:ascii="Segoe UI" w:hAnsi="Segoe UI" w:cs="Segoe UI"/>
                <w:sz w:val="22"/>
              </w:rPr>
              <w:t xml:space="preserve">4. Niemcy </w:t>
            </w:r>
          </w:p>
          <w:p w:rsidR="009162DC" w:rsidRPr="009162DC" w:rsidRDefault="009162DC" w:rsidP="00D84B45">
            <w:pPr>
              <w:pStyle w:val="Zawartotabeli"/>
              <w:rPr>
                <w:rFonts w:ascii="Segoe UI" w:hAnsi="Segoe UI" w:cs="Segoe UI"/>
                <w:sz w:val="22"/>
              </w:rPr>
            </w:pPr>
            <w:r w:rsidRPr="009162DC">
              <w:rPr>
                <w:rFonts w:ascii="Segoe UI" w:hAnsi="Segoe UI" w:cs="Segoe UI"/>
                <w:sz w:val="22"/>
              </w:rPr>
              <w:t xml:space="preserve">5. Belgia </w:t>
            </w:r>
          </w:p>
        </w:tc>
        <w:tc>
          <w:tcPr>
            <w:tcW w:w="1927" w:type="dxa"/>
            <w:tcBorders>
              <w:left w:val="single" w:sz="1" w:space="0" w:color="000000"/>
              <w:bottom w:val="single" w:sz="1" w:space="0" w:color="000000"/>
            </w:tcBorders>
            <w:shd w:val="clear" w:color="auto" w:fill="auto"/>
          </w:tcPr>
          <w:p w:rsidR="009162DC" w:rsidRPr="009162DC" w:rsidRDefault="009162DC" w:rsidP="00D84B45">
            <w:pPr>
              <w:pStyle w:val="Zawartotabeli"/>
              <w:rPr>
                <w:rFonts w:ascii="Segoe UI" w:hAnsi="Segoe UI" w:cs="Segoe UI"/>
                <w:sz w:val="22"/>
              </w:rPr>
            </w:pPr>
            <w:r w:rsidRPr="009162DC">
              <w:rPr>
                <w:rFonts w:ascii="Segoe UI" w:hAnsi="Segoe UI" w:cs="Segoe UI"/>
                <w:sz w:val="22"/>
              </w:rPr>
              <w:t xml:space="preserve">1. Holandia </w:t>
            </w:r>
          </w:p>
          <w:p w:rsidR="009162DC" w:rsidRPr="009162DC" w:rsidRDefault="009162DC" w:rsidP="00D84B45">
            <w:pPr>
              <w:pStyle w:val="Zawartotabeli"/>
              <w:rPr>
                <w:rFonts w:ascii="Segoe UI" w:hAnsi="Segoe UI" w:cs="Segoe UI"/>
                <w:sz w:val="22"/>
              </w:rPr>
            </w:pPr>
            <w:r w:rsidRPr="009162DC">
              <w:rPr>
                <w:rFonts w:ascii="Segoe UI" w:hAnsi="Segoe UI" w:cs="Segoe UI"/>
                <w:sz w:val="22"/>
              </w:rPr>
              <w:t xml:space="preserve">2. Niemcy </w:t>
            </w:r>
          </w:p>
          <w:p w:rsidR="009162DC" w:rsidRPr="009162DC" w:rsidRDefault="009162DC" w:rsidP="00D84B45">
            <w:pPr>
              <w:pStyle w:val="Zawartotabeli"/>
              <w:rPr>
                <w:rFonts w:ascii="Segoe UI" w:hAnsi="Segoe UI" w:cs="Segoe UI"/>
                <w:sz w:val="22"/>
              </w:rPr>
            </w:pPr>
            <w:r w:rsidRPr="009162DC">
              <w:rPr>
                <w:rFonts w:ascii="Segoe UI" w:hAnsi="Segoe UI" w:cs="Segoe UI"/>
                <w:sz w:val="22"/>
              </w:rPr>
              <w:t xml:space="preserve">3. Belgia </w:t>
            </w:r>
          </w:p>
          <w:p w:rsidR="009162DC" w:rsidRPr="009162DC" w:rsidRDefault="009162DC" w:rsidP="00D84B45">
            <w:pPr>
              <w:pStyle w:val="Zawartotabeli"/>
              <w:rPr>
                <w:rFonts w:ascii="Segoe UI" w:hAnsi="Segoe UI" w:cs="Segoe UI"/>
                <w:sz w:val="22"/>
              </w:rPr>
            </w:pPr>
            <w:r w:rsidRPr="009162DC">
              <w:rPr>
                <w:rFonts w:ascii="Segoe UI" w:hAnsi="Segoe UI" w:cs="Segoe UI"/>
                <w:sz w:val="22"/>
              </w:rPr>
              <w:t xml:space="preserve">4. Francja </w:t>
            </w:r>
          </w:p>
          <w:p w:rsidR="009162DC" w:rsidRPr="009162DC" w:rsidRDefault="009162DC" w:rsidP="00D84B45">
            <w:pPr>
              <w:pStyle w:val="Zawartotabeli"/>
              <w:rPr>
                <w:rFonts w:ascii="Segoe UI" w:hAnsi="Segoe UI" w:cs="Segoe UI"/>
                <w:sz w:val="22"/>
              </w:rPr>
            </w:pPr>
            <w:r w:rsidRPr="009162DC">
              <w:rPr>
                <w:rFonts w:ascii="Segoe UI" w:hAnsi="Segoe UI" w:cs="Segoe UI"/>
                <w:sz w:val="22"/>
              </w:rPr>
              <w:t>5. Polska</w:t>
            </w:r>
          </w:p>
        </w:tc>
        <w:tc>
          <w:tcPr>
            <w:tcW w:w="1929" w:type="dxa"/>
            <w:tcBorders>
              <w:left w:val="single" w:sz="1" w:space="0" w:color="000000"/>
              <w:bottom w:val="single" w:sz="1" w:space="0" w:color="000000"/>
              <w:right w:val="single" w:sz="1" w:space="0" w:color="000000"/>
            </w:tcBorders>
            <w:shd w:val="clear" w:color="auto" w:fill="auto"/>
          </w:tcPr>
          <w:p w:rsidR="009162DC" w:rsidRPr="009162DC" w:rsidRDefault="009162DC" w:rsidP="00D84B45">
            <w:pPr>
              <w:pStyle w:val="Zawartotabeli"/>
              <w:rPr>
                <w:rFonts w:ascii="Segoe UI" w:hAnsi="Segoe UI" w:cs="Segoe UI"/>
                <w:sz w:val="22"/>
              </w:rPr>
            </w:pPr>
            <w:r w:rsidRPr="009162DC">
              <w:rPr>
                <w:rFonts w:ascii="Segoe UI" w:hAnsi="Segoe UI" w:cs="Segoe UI"/>
                <w:sz w:val="22"/>
              </w:rPr>
              <w:t>1. Holandia</w:t>
            </w:r>
          </w:p>
          <w:p w:rsidR="009162DC" w:rsidRPr="009162DC" w:rsidRDefault="009162DC" w:rsidP="00D84B45">
            <w:pPr>
              <w:pStyle w:val="Zawartotabeli"/>
              <w:rPr>
                <w:rFonts w:ascii="Segoe UI" w:hAnsi="Segoe UI" w:cs="Segoe UI"/>
                <w:sz w:val="22"/>
              </w:rPr>
            </w:pPr>
            <w:r w:rsidRPr="009162DC">
              <w:rPr>
                <w:rFonts w:ascii="Segoe UI" w:hAnsi="Segoe UI" w:cs="Segoe UI"/>
                <w:sz w:val="22"/>
              </w:rPr>
              <w:t xml:space="preserve">2. Polska </w:t>
            </w:r>
          </w:p>
          <w:p w:rsidR="009162DC" w:rsidRPr="009162DC" w:rsidRDefault="009162DC" w:rsidP="00D84B45">
            <w:pPr>
              <w:pStyle w:val="Zawartotabeli"/>
              <w:rPr>
                <w:rFonts w:ascii="Segoe UI" w:hAnsi="Segoe UI" w:cs="Segoe UI"/>
                <w:sz w:val="22"/>
              </w:rPr>
            </w:pPr>
            <w:r w:rsidRPr="009162DC">
              <w:rPr>
                <w:rFonts w:ascii="Segoe UI" w:hAnsi="Segoe UI" w:cs="Segoe UI"/>
                <w:sz w:val="22"/>
              </w:rPr>
              <w:t>3. Pozostałe kraje Europy Środkowo-Wschodniej*</w:t>
            </w:r>
          </w:p>
          <w:p w:rsidR="009162DC" w:rsidRPr="009162DC" w:rsidRDefault="009162DC" w:rsidP="00D84B45">
            <w:pPr>
              <w:pStyle w:val="Zawartotabeli"/>
              <w:rPr>
                <w:rFonts w:ascii="Segoe UI" w:hAnsi="Segoe UI" w:cs="Segoe UI"/>
                <w:sz w:val="22"/>
              </w:rPr>
            </w:pPr>
            <w:r w:rsidRPr="009162DC">
              <w:rPr>
                <w:rFonts w:ascii="Segoe UI" w:hAnsi="Segoe UI" w:cs="Segoe UI"/>
                <w:sz w:val="22"/>
              </w:rPr>
              <w:t xml:space="preserve">4. Niemcy </w:t>
            </w:r>
          </w:p>
          <w:p w:rsidR="009162DC" w:rsidRPr="009162DC" w:rsidRDefault="009162DC" w:rsidP="00D84B45">
            <w:pPr>
              <w:pStyle w:val="Zawartotabeli"/>
              <w:rPr>
                <w:rFonts w:ascii="Segoe UI" w:hAnsi="Segoe UI" w:cs="Segoe UI"/>
                <w:sz w:val="22"/>
                <w:szCs w:val="20"/>
              </w:rPr>
            </w:pPr>
            <w:r w:rsidRPr="009162DC">
              <w:rPr>
                <w:rFonts w:ascii="Segoe UI" w:hAnsi="Segoe UI" w:cs="Segoe UI"/>
                <w:sz w:val="22"/>
              </w:rPr>
              <w:t xml:space="preserve">5. Belgia </w:t>
            </w:r>
          </w:p>
        </w:tc>
      </w:tr>
    </w:tbl>
    <w:p w:rsidR="009162DC" w:rsidRPr="009162DC" w:rsidRDefault="009162DC" w:rsidP="009162DC">
      <w:pPr>
        <w:rPr>
          <w:lang w:val="pl-PL"/>
        </w:rPr>
      </w:pPr>
      <w:r w:rsidRPr="009162DC">
        <w:rPr>
          <w:sz w:val="20"/>
          <w:szCs w:val="20"/>
          <w:lang w:val="pl-PL"/>
        </w:rPr>
        <w:t>* Pozostałe kraje Europy Środkowo-Wschodniej to Czechy, Słowacja, Węgry, Rumunia, Słowenia, Turcja i Rosja</w:t>
      </w:r>
    </w:p>
    <w:p w:rsidR="009162DC" w:rsidRPr="009162DC" w:rsidRDefault="009162DC" w:rsidP="009162DC">
      <w:pPr>
        <w:rPr>
          <w:lang w:val="pl-PL"/>
        </w:rPr>
      </w:pPr>
    </w:p>
    <w:p w:rsidR="009162DC" w:rsidRPr="009162DC" w:rsidRDefault="009162DC" w:rsidP="009162DC">
      <w:pPr>
        <w:rPr>
          <w:lang w:val="pl-PL"/>
        </w:rPr>
      </w:pPr>
    </w:p>
    <w:p w:rsidR="009162DC" w:rsidRPr="009162DC" w:rsidRDefault="009162DC" w:rsidP="009162DC">
      <w:pPr>
        <w:rPr>
          <w:lang w:val="pl-PL"/>
        </w:rPr>
      </w:pPr>
      <w:r w:rsidRPr="009162DC">
        <w:rPr>
          <w:lang w:val="pl-PL"/>
        </w:rPr>
        <w:t>Główne wnioski z naszych badań:</w:t>
      </w:r>
    </w:p>
    <w:p w:rsidR="009162DC" w:rsidRPr="009162DC" w:rsidRDefault="009162DC" w:rsidP="009162DC">
      <w:pPr>
        <w:rPr>
          <w:lang w:val="pl-PL"/>
        </w:rPr>
      </w:pPr>
      <w:r w:rsidRPr="009162DC">
        <w:rPr>
          <w:lang w:val="pl-PL"/>
        </w:rPr>
        <w:t>1 – Bezpośredni dostęp do głównych centrów konsumpcji jest kluczowy</w:t>
      </w:r>
    </w:p>
    <w:p w:rsidR="009162DC" w:rsidRPr="009162DC" w:rsidRDefault="009162DC" w:rsidP="009162DC">
      <w:pPr>
        <w:rPr>
          <w:lang w:val="pl-PL"/>
        </w:rPr>
      </w:pPr>
      <w:r w:rsidRPr="009162DC">
        <w:rPr>
          <w:lang w:val="pl-PL"/>
        </w:rPr>
        <w:t>2 – Główne skupiska ludności o najwyższym poziomie konsumpcji mają coraz większe znaczenie</w:t>
      </w:r>
    </w:p>
    <w:p w:rsidR="009162DC" w:rsidRPr="009162DC" w:rsidRDefault="009162DC" w:rsidP="009162DC">
      <w:pPr>
        <w:rPr>
          <w:lang w:val="pl-PL"/>
        </w:rPr>
      </w:pPr>
      <w:r w:rsidRPr="009162DC">
        <w:rPr>
          <w:lang w:val="pl-PL"/>
        </w:rPr>
        <w:t>3 – Koszty całkowite mają relatywnie małe znaczenie</w:t>
      </w:r>
    </w:p>
    <w:p w:rsidR="009162DC" w:rsidRPr="009162DC" w:rsidRDefault="009162DC" w:rsidP="009162DC">
      <w:pPr>
        <w:rPr>
          <w:lang w:val="pl-PL"/>
        </w:rPr>
      </w:pPr>
      <w:r w:rsidRPr="009162DC">
        <w:rPr>
          <w:lang w:val="pl-PL"/>
        </w:rPr>
        <w:t xml:space="preserve">4 – Rosnące znaczenie zatrudnienia, zarówno pod względem dostępności pracowników, jak w przypadku Europy Zachodniej (np. w Holandii), jak i pod względem kosztów pracy, jak w przypadku Polski. </w:t>
      </w:r>
    </w:p>
    <w:p w:rsidR="009162DC" w:rsidRPr="007532BC" w:rsidRDefault="009162DC" w:rsidP="009162DC">
      <w:pPr>
        <w:rPr>
          <w:b/>
          <w:lang w:val="pl-PL"/>
        </w:rPr>
      </w:pPr>
      <w:r w:rsidRPr="007532BC">
        <w:rPr>
          <w:b/>
          <w:lang w:val="pl-PL"/>
        </w:rPr>
        <w:t>CO TO OZNACZA?</w:t>
      </w:r>
    </w:p>
    <w:p w:rsidR="009162DC" w:rsidRPr="009162DC" w:rsidRDefault="009162DC" w:rsidP="009162DC">
      <w:pPr>
        <w:rPr>
          <w:lang w:val="pl-PL"/>
        </w:rPr>
      </w:pPr>
      <w:r w:rsidRPr="001846AC">
        <w:rPr>
          <w:b/>
          <w:lang w:val="pl-PL"/>
        </w:rPr>
        <w:t>Inwestycja w infrastrukturę i dostępność pracowników są kluczem do sukcesu dla danej lokalizacji logistycznej.</w:t>
      </w:r>
      <w:r w:rsidRPr="009162DC">
        <w:rPr>
          <w:lang w:val="pl-PL"/>
        </w:rPr>
        <w:t xml:space="preserve"> Dostępność pracowników i bliskość sieci gospodarczych to czynniki mające wpływ na podejmowanie decyzji dotyczących lokalizacji. Dlatego też, aby móc cieszyć się falą wzrostu w sektorze logistyki, decydenci polityczni powinni zachęcać do inwestycji w infrastrukturę i dostępność wykwalifikowanej siły roboczej. Zrozumienie tych długoterminowych czynników kształtujących popyt jest kluczowe dla inwestorów. Podczas gdy inne składowe (np. dynamika podaży, kompresja stóp kapitalizacji itd.) są ważne dla stworzenia długoterminowej wartości, zrozumienie dynamiki klienta i zmian zachodzących w sieciach logistycznych </w:t>
      </w:r>
      <w:r w:rsidR="00301BBA">
        <w:rPr>
          <w:lang w:val="pl-PL"/>
        </w:rPr>
        <w:t>jest niezbędne dla</w:t>
      </w:r>
      <w:r w:rsidR="00301BBA" w:rsidRPr="009162DC">
        <w:rPr>
          <w:lang w:val="pl-PL"/>
        </w:rPr>
        <w:t xml:space="preserve"> </w:t>
      </w:r>
      <w:r w:rsidR="00301BBA">
        <w:rPr>
          <w:lang w:val="pl-PL"/>
        </w:rPr>
        <w:t>podejmowania</w:t>
      </w:r>
      <w:r w:rsidR="00301BBA" w:rsidRPr="009162DC">
        <w:rPr>
          <w:lang w:val="pl-PL"/>
        </w:rPr>
        <w:t xml:space="preserve"> </w:t>
      </w:r>
      <w:r w:rsidRPr="009162DC">
        <w:rPr>
          <w:lang w:val="pl-PL"/>
        </w:rPr>
        <w:t xml:space="preserve">właściwych decyzji inwestycyjnych. </w:t>
      </w:r>
    </w:p>
    <w:p w:rsidR="009162DC" w:rsidRPr="007532BC" w:rsidRDefault="009162DC" w:rsidP="009162DC">
      <w:pPr>
        <w:rPr>
          <w:b/>
          <w:lang w:val="pl-PL"/>
        </w:rPr>
      </w:pPr>
      <w:r w:rsidRPr="007532BC">
        <w:rPr>
          <w:b/>
          <w:lang w:val="pl-PL"/>
        </w:rPr>
        <w:t>CZYNNIKI WARUNKUJĄCE WYBÓR LOKALIZACJI</w:t>
      </w:r>
    </w:p>
    <w:p w:rsidR="009162DC" w:rsidRPr="009162DC" w:rsidRDefault="009162DC" w:rsidP="009162DC">
      <w:pPr>
        <w:rPr>
          <w:lang w:val="pl-PL"/>
        </w:rPr>
      </w:pPr>
      <w:r w:rsidRPr="001846AC">
        <w:rPr>
          <w:b/>
          <w:lang w:val="pl-PL"/>
        </w:rPr>
        <w:t>1. Najważniejszy jest bezpośredni dostęp do głównych centrów konsumpcji.</w:t>
      </w:r>
      <w:r w:rsidRPr="009162DC">
        <w:rPr>
          <w:lang w:val="pl-PL"/>
        </w:rPr>
        <w:t xml:space="preserve"> </w:t>
      </w:r>
      <w:r w:rsidR="00301BBA">
        <w:rPr>
          <w:lang w:val="pl-PL"/>
        </w:rPr>
        <w:t xml:space="preserve">Dostęp </w:t>
      </w:r>
      <w:r w:rsidR="00301BBA" w:rsidRPr="001846AC">
        <w:rPr>
          <w:lang w:val="pl-PL"/>
        </w:rPr>
        <w:t xml:space="preserve">do </w:t>
      </w:r>
      <w:r w:rsidRPr="001846AC">
        <w:rPr>
          <w:lang w:val="pl-PL"/>
        </w:rPr>
        <w:t xml:space="preserve">handlu </w:t>
      </w:r>
      <w:r w:rsidR="00301BBA" w:rsidRPr="001846AC">
        <w:rPr>
          <w:lang w:val="pl-PL"/>
        </w:rPr>
        <w:t>międzynarodowego</w:t>
      </w:r>
      <w:r w:rsidRPr="001846AC">
        <w:rPr>
          <w:lang w:val="pl-PL"/>
        </w:rPr>
        <w:t>, sieci gospodarcze i dostępność pracowników są dla operatorów</w:t>
      </w:r>
      <w:r w:rsidRPr="009162DC">
        <w:rPr>
          <w:lang w:val="pl-PL"/>
        </w:rPr>
        <w:t xml:space="preserve"> logistycznych najważniejszymi kryteriami wyboru lokalizacji. Korytarze logistyczne i obszary metropolitalne w krajach Beneluksu i Zachodnich Niemczech są tego najlepszym przykładem. Europa Północna charakteryzuje się wysokim zagęszczeniem konsumentów i rozwiniętymi sieciami transportowymi, nie dziwi zatem, że te lokalizacje uplasowały się wysoko w rankingu pod względem bliskości i infrastruktury. Rynki holenderskie uzyskały szczególnie wysoki wynik pod względem regulacji formalno-prawnych i multimodalności. Wiele poszczególnych rynków jest dobrze położonych, jak na przykład Venlo, Amsterdam-</w:t>
      </w:r>
      <w:proofErr w:type="spellStart"/>
      <w:r w:rsidRPr="009162DC">
        <w:rPr>
          <w:lang w:val="pl-PL"/>
        </w:rPr>
        <w:t>Schiphol</w:t>
      </w:r>
      <w:proofErr w:type="spellEnd"/>
      <w:r w:rsidRPr="009162DC">
        <w:rPr>
          <w:lang w:val="pl-PL"/>
        </w:rPr>
        <w:t xml:space="preserve">, </w:t>
      </w:r>
      <w:r w:rsidR="00301BBA">
        <w:rPr>
          <w:lang w:val="pl-PL"/>
        </w:rPr>
        <w:t xml:space="preserve">korytarz </w:t>
      </w:r>
      <w:r w:rsidRPr="009162DC">
        <w:rPr>
          <w:lang w:val="pl-PL"/>
        </w:rPr>
        <w:t xml:space="preserve">Antwerpia-Bruksela (E19), Hamburg, Stuttgart, </w:t>
      </w:r>
      <w:r w:rsidR="00301BBA">
        <w:rPr>
          <w:lang w:val="pl-PL"/>
        </w:rPr>
        <w:t xml:space="preserve">korytarz </w:t>
      </w:r>
      <w:r w:rsidRPr="009162DC">
        <w:rPr>
          <w:lang w:val="pl-PL"/>
        </w:rPr>
        <w:t xml:space="preserve">Antwerpia-Hasselt (E330) oraz Centralna i Wschodnia Brabancja. </w:t>
      </w:r>
    </w:p>
    <w:p w:rsidR="009162DC" w:rsidRPr="009162DC" w:rsidRDefault="009162DC" w:rsidP="009162DC">
      <w:pPr>
        <w:rPr>
          <w:lang w:val="pl-PL"/>
        </w:rPr>
      </w:pPr>
      <w:r w:rsidRPr="001846AC">
        <w:rPr>
          <w:b/>
          <w:lang w:val="pl-PL"/>
        </w:rPr>
        <w:lastRenderedPageBreak/>
        <w:t>2. Główne skupiska ludności o najwyższym poziomie konsumpcji mają coraz większe znaczenie.</w:t>
      </w:r>
      <w:r w:rsidRPr="009162DC">
        <w:rPr>
          <w:lang w:val="pl-PL"/>
        </w:rPr>
        <w:t xml:space="preserve"> W tegorocznym badaniu, duże obszary metropolitalne jak Londyn, Paryż czy Berlin uplasowały się wyżej w ogólnych rankingach. Podobnie jak korytarze logistyczne, obszary metropolitalne notują dobre wyniki, ponieważ znajdują się one blisko konsumentów i stanowią wsparcie dla wydajnego łańcucha dostaw. Klienci nieruchomości logistycznych coraz częściej zwracają uwagę na koszty łańcucha dostaw, a także, chcąc dostarczyć klientom towar najszybciej jak to możliwe, na bliskość ośrodków gospodarczych oraz klientów/dostawców.</w:t>
      </w:r>
    </w:p>
    <w:p w:rsidR="009162DC" w:rsidRPr="009162DC" w:rsidRDefault="009162DC" w:rsidP="009162DC">
      <w:pPr>
        <w:rPr>
          <w:lang w:val="pl-PL"/>
        </w:rPr>
      </w:pPr>
      <w:r w:rsidRPr="001846AC">
        <w:rPr>
          <w:b/>
          <w:lang w:val="pl-PL"/>
        </w:rPr>
        <w:t>3. Koszty całkowite mają relatywnie małe znaczenie.</w:t>
      </w:r>
      <w:r w:rsidRPr="009162DC">
        <w:rPr>
          <w:lang w:val="pl-PL"/>
        </w:rPr>
        <w:t xml:space="preserve"> Dawniej logistyka skupiała się na minimalizowaniu kosztów. Jednak obecnie, gdy łańcuch dostaw jest coraz częściej postrzegany jako atut konkurencyjności, wartość odgrywa coraz większą rolę w podejmowaniu decyzji. Wiele krajów i rynków tradycyjnie postrzeganych jako drogie osiągnęło dobry wynik w naszym badaniu, jak na przykład Holandia, Niemcy, Belgia, Wielka Brytania czy Francja.</w:t>
      </w:r>
    </w:p>
    <w:p w:rsidR="009162DC" w:rsidRPr="009162DC" w:rsidRDefault="009162DC" w:rsidP="009162DC">
      <w:pPr>
        <w:rPr>
          <w:lang w:val="pl-PL"/>
        </w:rPr>
      </w:pPr>
      <w:r w:rsidRPr="001846AC">
        <w:rPr>
          <w:b/>
          <w:lang w:val="pl-PL"/>
        </w:rPr>
        <w:t xml:space="preserve">4.Rosnące znaczenie zatrudnienia, zarówno pod względem dostępności pracowników, jak w przypadku Europy Zachodniej (np. w Holandii), jak i pod względem kosztów pracy, jak w przypadku Polski. </w:t>
      </w:r>
      <w:r w:rsidRPr="009162DC">
        <w:rPr>
          <w:lang w:val="pl-PL"/>
        </w:rPr>
        <w:t xml:space="preserve">Przy zmieniającej się demografii i wysokim poziomie usług o wartości dodanej w obiektach logistycznych, kolejnym strukturalnym i cyklicznym czynnikiem wpływającym na wybór lokalizacji stała się dostępność wykwalifikowanych pracowników. Rynki w Europie Zachodniej, jak południowa Holandia i </w:t>
      </w:r>
      <w:proofErr w:type="spellStart"/>
      <w:r w:rsidRPr="009162DC">
        <w:rPr>
          <w:lang w:val="pl-PL"/>
        </w:rPr>
        <w:t>Rhein</w:t>
      </w:r>
      <w:proofErr w:type="spellEnd"/>
      <w:r w:rsidRPr="009162DC">
        <w:rPr>
          <w:lang w:val="pl-PL"/>
        </w:rPr>
        <w:t>-Ruhr mieszczą duże bazy siły roboczej, zatem osiągają relatywnie wysokie wyniki pod tym względem. Dostępność wykwalifikowanej i elastycznej siły roboczej stanowi element coraz ważniejszej dla sektora logistycznego skuteczności operacyjnej. Polska uplasowała się wysoko w rankingu w wielu kategoriach, stanowiąc jeden z najszybciej rozwijających się rynków w Europie. Pierwszym rynkiem spoza Europy Zachodniej, który znalazł się w pierwszej piątce lokalizacji był</w:t>
      </w:r>
      <w:r w:rsidR="00B44139">
        <w:rPr>
          <w:lang w:val="pl-PL"/>
        </w:rPr>
        <w:t xml:space="preserve"> rynek</w:t>
      </w:r>
      <w:r w:rsidRPr="009162DC">
        <w:rPr>
          <w:lang w:val="pl-PL"/>
        </w:rPr>
        <w:t xml:space="preserve">  Polsk</w:t>
      </w:r>
      <w:r w:rsidR="00B44139">
        <w:rPr>
          <w:lang w:val="pl-PL"/>
        </w:rPr>
        <w:t xml:space="preserve">i </w:t>
      </w:r>
      <w:proofErr w:type="spellStart"/>
      <w:r w:rsidR="00B44139">
        <w:rPr>
          <w:lang w:val="pl-PL"/>
        </w:rPr>
        <w:t>Centralnej</w:t>
      </w:r>
      <w:r w:rsidRPr="009162DC">
        <w:rPr>
          <w:lang w:val="pl-PL"/>
        </w:rPr>
        <w:t>-Łódź</w:t>
      </w:r>
      <w:proofErr w:type="spellEnd"/>
      <w:r w:rsidRPr="009162DC">
        <w:rPr>
          <w:lang w:val="pl-PL"/>
        </w:rPr>
        <w:t>. Europa Środkowo-Wschodnia to stosunkowo młody rynek, będący częścią europejskiej sieci logistycznej dopiero po wejściu krajów tego obszaru do Unii Europejskiej. Zwiększeniu popytu w rym regionie służy powstanie klasy średniej oraz rozwój sektora montażu końcowego.</w:t>
      </w:r>
    </w:p>
    <w:p w:rsidR="009162DC" w:rsidRPr="007532BC" w:rsidRDefault="009162DC" w:rsidP="009162DC">
      <w:pPr>
        <w:rPr>
          <w:b/>
          <w:lang w:val="pl-PL"/>
        </w:rPr>
      </w:pPr>
      <w:r w:rsidRPr="007532BC">
        <w:rPr>
          <w:b/>
          <w:bCs/>
          <w:lang w:val="pl-PL"/>
        </w:rPr>
        <w:t>Wielka Brytania (Zjednoczone Królestwo)</w:t>
      </w:r>
    </w:p>
    <w:p w:rsidR="009162DC" w:rsidRPr="009162DC" w:rsidRDefault="009162DC" w:rsidP="009162DC">
      <w:pPr>
        <w:rPr>
          <w:lang w:val="pl-PL"/>
        </w:rPr>
      </w:pPr>
      <w:r w:rsidRPr="009162DC">
        <w:rPr>
          <w:lang w:val="pl-PL"/>
        </w:rPr>
        <w:t xml:space="preserve">Rynek logistyczny Zjednoczonego Królestwa różni się od tego w Europie kontynentalnej. Wśród najlepszych rynków są </w:t>
      </w:r>
      <w:r w:rsidRPr="001846AC">
        <w:rPr>
          <w:b/>
          <w:lang w:val="pl-PL"/>
        </w:rPr>
        <w:t>Londyn</w:t>
      </w:r>
      <w:r w:rsidRPr="009162DC">
        <w:rPr>
          <w:lang w:val="pl-PL"/>
        </w:rPr>
        <w:t xml:space="preserve">, który cieszył się uznaniem respondentów ze względu na swą dużą bazę klientów, oraz </w:t>
      </w:r>
      <w:proofErr w:type="spellStart"/>
      <w:r w:rsidRPr="001846AC">
        <w:rPr>
          <w:b/>
          <w:lang w:val="pl-PL"/>
        </w:rPr>
        <w:t>Midlands</w:t>
      </w:r>
      <w:proofErr w:type="spellEnd"/>
      <w:r w:rsidRPr="009162DC">
        <w:rPr>
          <w:lang w:val="pl-PL"/>
        </w:rPr>
        <w:t xml:space="preserve">, ze względu na bliskość klientów (East </w:t>
      </w:r>
      <w:proofErr w:type="spellStart"/>
      <w:r w:rsidRPr="009162DC">
        <w:rPr>
          <w:lang w:val="pl-PL"/>
        </w:rPr>
        <w:t>Midlands</w:t>
      </w:r>
      <w:proofErr w:type="spellEnd"/>
      <w:r w:rsidRPr="009162DC">
        <w:rPr>
          <w:lang w:val="pl-PL"/>
        </w:rPr>
        <w:t xml:space="preserve"> wypadły lepiej niż West </w:t>
      </w:r>
      <w:proofErr w:type="spellStart"/>
      <w:r w:rsidRPr="009162DC">
        <w:rPr>
          <w:lang w:val="pl-PL"/>
        </w:rPr>
        <w:t>Midlands</w:t>
      </w:r>
      <w:proofErr w:type="spellEnd"/>
      <w:r w:rsidRPr="009162DC">
        <w:rPr>
          <w:lang w:val="pl-PL"/>
        </w:rPr>
        <w:t xml:space="preserve">), a także dzięki dobrej infrastrukturze i wsparciu ze strony lokalnych władz. </w:t>
      </w:r>
    </w:p>
    <w:p w:rsidR="001846AC" w:rsidRDefault="001846AC" w:rsidP="009162DC">
      <w:pPr>
        <w:rPr>
          <w:b/>
          <w:bCs/>
          <w:lang w:val="pl-PL"/>
        </w:rPr>
      </w:pPr>
    </w:p>
    <w:p w:rsidR="001846AC" w:rsidRDefault="001846AC" w:rsidP="009162DC">
      <w:pPr>
        <w:rPr>
          <w:b/>
          <w:bCs/>
          <w:lang w:val="pl-PL"/>
        </w:rPr>
      </w:pPr>
    </w:p>
    <w:p w:rsidR="009162DC" w:rsidRPr="009162DC" w:rsidRDefault="009162DC" w:rsidP="009162DC">
      <w:pPr>
        <w:rPr>
          <w:lang w:val="pl-PL"/>
        </w:rPr>
      </w:pPr>
      <w:r w:rsidRPr="009162DC">
        <w:rPr>
          <w:b/>
          <w:bCs/>
          <w:lang w:val="pl-PL"/>
        </w:rPr>
        <w:lastRenderedPageBreak/>
        <w:t>Holandia</w:t>
      </w:r>
    </w:p>
    <w:p w:rsidR="009162DC" w:rsidRPr="009162DC" w:rsidRDefault="009162DC" w:rsidP="009162DC">
      <w:pPr>
        <w:rPr>
          <w:lang w:val="pl-PL"/>
        </w:rPr>
      </w:pPr>
      <w:r w:rsidRPr="009162DC">
        <w:rPr>
          <w:lang w:val="pl-PL"/>
        </w:rPr>
        <w:t xml:space="preserve">Holandia, stanowiąca jeden z głównych szlaków handlowych Europy, niezmiennie plasuje się na szczycie rankingu. Najważniejsze rynki to (w kolejności): </w:t>
      </w:r>
      <w:r w:rsidRPr="001846AC">
        <w:rPr>
          <w:b/>
          <w:lang w:val="pl-PL"/>
        </w:rPr>
        <w:t>Venlo, Rotterdam, Amsterdam-</w:t>
      </w:r>
      <w:proofErr w:type="spellStart"/>
      <w:r w:rsidRPr="001846AC">
        <w:rPr>
          <w:b/>
          <w:lang w:val="pl-PL"/>
        </w:rPr>
        <w:t>Schiphol</w:t>
      </w:r>
      <w:proofErr w:type="spellEnd"/>
      <w:r w:rsidRPr="009162DC">
        <w:rPr>
          <w:lang w:val="pl-PL"/>
        </w:rPr>
        <w:t xml:space="preserve"> i </w:t>
      </w:r>
      <w:r w:rsidRPr="001846AC">
        <w:rPr>
          <w:b/>
          <w:lang w:val="pl-PL"/>
        </w:rPr>
        <w:t>Brabancja Centralna</w:t>
      </w:r>
      <w:r w:rsidRPr="009162DC">
        <w:rPr>
          <w:lang w:val="pl-PL"/>
        </w:rPr>
        <w:t>. Respondenci różnie ocenili te rynki ze względu na dostępność do głównych centrów konsumpcji, infrastrukturę oraz wsparcie, jakie władze lokalne oferują branży logistycznej.</w:t>
      </w:r>
    </w:p>
    <w:p w:rsidR="009162DC" w:rsidRPr="009162DC" w:rsidRDefault="009162DC" w:rsidP="009162DC">
      <w:pPr>
        <w:rPr>
          <w:lang w:val="pl-PL"/>
        </w:rPr>
      </w:pPr>
      <w:r w:rsidRPr="009162DC">
        <w:rPr>
          <w:b/>
          <w:bCs/>
          <w:lang w:val="pl-PL"/>
        </w:rPr>
        <w:t>Niemcy</w:t>
      </w:r>
    </w:p>
    <w:p w:rsidR="009162DC" w:rsidRPr="009162DC" w:rsidRDefault="009162DC" w:rsidP="009162DC">
      <w:pPr>
        <w:rPr>
          <w:lang w:val="pl-PL"/>
        </w:rPr>
      </w:pPr>
      <w:r w:rsidRPr="009162DC">
        <w:rPr>
          <w:lang w:val="pl-PL"/>
        </w:rPr>
        <w:t>Będąc siłą napędową gospodarki europejskiej Niemcy niezmiennie plasują się wśród najchętniej wybieranych lokalizacji logistycznych. Skupiska ludności i rynek logistyczny są rozmieszczone na wielu obszarach. Największe rynki to (w kolejności</w:t>
      </w:r>
      <w:r w:rsidRPr="001846AC">
        <w:rPr>
          <w:b/>
          <w:lang w:val="pl-PL"/>
        </w:rPr>
        <w:t xml:space="preserve">): </w:t>
      </w:r>
      <w:proofErr w:type="spellStart"/>
      <w:r w:rsidRPr="001846AC">
        <w:rPr>
          <w:b/>
          <w:lang w:val="pl-PL"/>
        </w:rPr>
        <w:t>Düsseldorf</w:t>
      </w:r>
      <w:proofErr w:type="spellEnd"/>
      <w:r w:rsidRPr="001846AC">
        <w:rPr>
          <w:b/>
          <w:lang w:val="pl-PL"/>
        </w:rPr>
        <w:t>/</w:t>
      </w:r>
      <w:proofErr w:type="spellStart"/>
      <w:r w:rsidRPr="001846AC">
        <w:rPr>
          <w:b/>
          <w:lang w:val="pl-PL"/>
        </w:rPr>
        <w:t>Rhein</w:t>
      </w:r>
      <w:proofErr w:type="spellEnd"/>
      <w:r w:rsidRPr="001846AC">
        <w:rPr>
          <w:b/>
          <w:lang w:val="pl-PL"/>
        </w:rPr>
        <w:t>-Ruhr, centralne Niemcy, Frankfurt, Kolonia Bonn</w:t>
      </w:r>
      <w:r w:rsidRPr="009162DC">
        <w:rPr>
          <w:lang w:val="pl-PL"/>
        </w:rPr>
        <w:t xml:space="preserve"> i </w:t>
      </w:r>
      <w:r w:rsidRPr="001846AC">
        <w:rPr>
          <w:b/>
          <w:lang w:val="pl-PL"/>
        </w:rPr>
        <w:t>Hamburg</w:t>
      </w:r>
      <w:r w:rsidRPr="009162DC">
        <w:rPr>
          <w:lang w:val="pl-PL"/>
        </w:rPr>
        <w:t xml:space="preserve">. Ważnym czynnikiem okazała się bliskość północnoeuropejskich portów handlowych i możliwość dystrybucji do lokalizacji w Niemczech, jak również obecność dużej bazy klientów. </w:t>
      </w:r>
    </w:p>
    <w:p w:rsidR="009162DC" w:rsidRPr="009162DC" w:rsidRDefault="009162DC" w:rsidP="009162DC">
      <w:pPr>
        <w:rPr>
          <w:lang w:val="pl-PL"/>
        </w:rPr>
      </w:pPr>
      <w:r w:rsidRPr="009162DC">
        <w:rPr>
          <w:b/>
          <w:bCs/>
          <w:lang w:val="pl-PL"/>
        </w:rPr>
        <w:t>Polska</w:t>
      </w:r>
    </w:p>
    <w:p w:rsidR="009162DC" w:rsidRPr="009162DC" w:rsidRDefault="009162DC" w:rsidP="009162DC">
      <w:pPr>
        <w:rPr>
          <w:lang w:val="pl-PL"/>
        </w:rPr>
      </w:pPr>
      <w:r w:rsidRPr="009162DC">
        <w:rPr>
          <w:lang w:val="pl-PL"/>
        </w:rPr>
        <w:t xml:space="preserve">Dzięki otwarciu granic polski rynek logistyczny odnotował znaczący wzrost. Rozwój działalności przemysłowej, przy jednoczesnym wzroście klasy konsumentów umożliwia stymulowanie rozwoju sektora logistycznego z obu kierunków łańcucha dostaw. Oferując dobrą propozycję wartości, bliskość Europy Zachodniej i rozbudowaną infrastrukturę transportową, Polska uplasowała się wśród trzech najlepszych krajów w różnych kategoriach. Najważniejsze rynki to </w:t>
      </w:r>
      <w:r w:rsidRPr="001846AC">
        <w:rPr>
          <w:b/>
          <w:lang w:val="pl-PL"/>
        </w:rPr>
        <w:t xml:space="preserve">Polska </w:t>
      </w:r>
      <w:proofErr w:type="spellStart"/>
      <w:r w:rsidRPr="001846AC">
        <w:rPr>
          <w:b/>
          <w:lang w:val="pl-PL"/>
        </w:rPr>
        <w:t>Centralna-Łódź</w:t>
      </w:r>
      <w:proofErr w:type="spellEnd"/>
      <w:r w:rsidRPr="009162DC">
        <w:rPr>
          <w:lang w:val="pl-PL"/>
        </w:rPr>
        <w:t xml:space="preserve"> (w 5 najlepszych lokalizacjach), </w:t>
      </w:r>
      <w:r w:rsidRPr="001846AC">
        <w:rPr>
          <w:b/>
          <w:lang w:val="pl-PL"/>
        </w:rPr>
        <w:t>Kraków, Wrocław</w:t>
      </w:r>
      <w:r w:rsidRPr="009162DC">
        <w:rPr>
          <w:lang w:val="pl-PL"/>
        </w:rPr>
        <w:t xml:space="preserve"> i </w:t>
      </w:r>
      <w:r w:rsidRPr="001846AC">
        <w:rPr>
          <w:b/>
          <w:lang w:val="pl-PL"/>
        </w:rPr>
        <w:t>zachodnia Polska</w:t>
      </w:r>
      <w:r w:rsidRPr="009162DC">
        <w:rPr>
          <w:lang w:val="pl-PL"/>
        </w:rPr>
        <w:t xml:space="preserve">. </w:t>
      </w:r>
    </w:p>
    <w:p w:rsidR="009162DC" w:rsidRPr="009162DC" w:rsidRDefault="009162DC" w:rsidP="009162DC">
      <w:pPr>
        <w:rPr>
          <w:lang w:val="pl-PL"/>
        </w:rPr>
      </w:pPr>
      <w:r w:rsidRPr="009162DC">
        <w:rPr>
          <w:b/>
          <w:bCs/>
          <w:lang w:val="pl-PL"/>
        </w:rPr>
        <w:t>Pozostałe kraje Europy Środkowo-Wschodniej</w:t>
      </w:r>
    </w:p>
    <w:p w:rsidR="009162DC" w:rsidRPr="009162DC" w:rsidRDefault="009162DC" w:rsidP="009162DC">
      <w:pPr>
        <w:rPr>
          <w:lang w:val="pl-PL"/>
        </w:rPr>
      </w:pPr>
      <w:r w:rsidRPr="009162DC">
        <w:rPr>
          <w:lang w:val="pl-PL"/>
        </w:rPr>
        <w:t xml:space="preserve">W porównaniu z Europą Zachodnią, jest to młody rynek, gdyż instytucje logistyki nieruchomości w tym regionie powstały zaledwie po 2000 roku. Charakteryzuje się prorozwojowym otoczeniem biznesu i niskimi kosztami, dzięki czemu przyciąga uwagę firm logistycznych, szczególnie tych nastawionych na większą siłę roboczą, np. przemysł lekki lub bardziej pracochłonna dystrybucja. Najważniejsze rynki to </w:t>
      </w:r>
      <w:r w:rsidRPr="001846AC">
        <w:rPr>
          <w:b/>
          <w:lang w:val="pl-PL"/>
        </w:rPr>
        <w:t>Bukareszt</w:t>
      </w:r>
      <w:r w:rsidRPr="009162DC">
        <w:rPr>
          <w:lang w:val="pl-PL"/>
        </w:rPr>
        <w:t xml:space="preserve"> i </w:t>
      </w:r>
      <w:r w:rsidRPr="001846AC">
        <w:rPr>
          <w:b/>
          <w:lang w:val="pl-PL"/>
        </w:rPr>
        <w:t>Praga</w:t>
      </w:r>
      <w:r w:rsidRPr="009162DC">
        <w:rPr>
          <w:lang w:val="pl-PL"/>
        </w:rPr>
        <w:t>.</w:t>
      </w:r>
    </w:p>
    <w:p w:rsidR="009162DC" w:rsidRPr="009162DC" w:rsidRDefault="009162DC" w:rsidP="009162DC">
      <w:pPr>
        <w:rPr>
          <w:lang w:val="pl-PL"/>
        </w:rPr>
      </w:pPr>
      <w:r w:rsidRPr="009162DC">
        <w:rPr>
          <w:b/>
          <w:bCs/>
          <w:lang w:val="pl-PL"/>
        </w:rPr>
        <w:t>Włochy</w:t>
      </w:r>
    </w:p>
    <w:p w:rsidR="009162DC" w:rsidRPr="009162DC" w:rsidRDefault="009162DC" w:rsidP="009162DC">
      <w:pPr>
        <w:rPr>
          <w:lang w:val="pl-PL"/>
        </w:rPr>
      </w:pPr>
      <w:r w:rsidRPr="009162DC">
        <w:rPr>
          <w:lang w:val="pl-PL"/>
        </w:rPr>
        <w:t xml:space="preserve">Konsumpcja krajowa stanowi główną siłę napędową włoskiej gospodarki, której powiązania z gospodarkami innych krajów są ograniczone w porównaniu z zachodnimi Niemcami czy Beneluksem. Dlatego też kraj ten nie znalazł się w pierwszej piątce rankingu w żadnej z kluczowych kategorii związanych z lokalizacją (choć uzyskiwał stabilne wyniki). Spośród wielu włoskich rynków, </w:t>
      </w:r>
      <w:r w:rsidRPr="001846AC">
        <w:rPr>
          <w:b/>
          <w:lang w:val="pl-PL"/>
        </w:rPr>
        <w:t>Mediolan</w:t>
      </w:r>
      <w:r w:rsidRPr="009162DC">
        <w:rPr>
          <w:lang w:val="pl-PL"/>
        </w:rPr>
        <w:t xml:space="preserve"> został oceniony najwyżej, ze względu na swe znaczenie </w:t>
      </w:r>
      <w:r w:rsidRPr="009162DC">
        <w:rPr>
          <w:lang w:val="pl-PL"/>
        </w:rPr>
        <w:lastRenderedPageBreak/>
        <w:t xml:space="preserve">gospodarcze i istniejącą infrastrukturę. Mediolan odnotował największy wzrost uznania wśród dużych rynków w porównaniu z naszym ostatnim badaniem w 2015 roku. Spośród mniejszych rynków zdecydowanie wyróżnia się </w:t>
      </w:r>
      <w:r w:rsidRPr="001846AC">
        <w:rPr>
          <w:b/>
          <w:lang w:val="pl-PL"/>
        </w:rPr>
        <w:t>Bolonia</w:t>
      </w:r>
      <w:r w:rsidRPr="009162DC">
        <w:rPr>
          <w:lang w:val="pl-PL"/>
        </w:rPr>
        <w:t xml:space="preserve">, a to dzięki swemu centralnemu położeniu, multimodalności oraz możliwości dotarcia do znacznej części populacji kraju. </w:t>
      </w:r>
    </w:p>
    <w:p w:rsidR="009162DC" w:rsidRPr="009162DC" w:rsidRDefault="009162DC" w:rsidP="009162DC">
      <w:pPr>
        <w:rPr>
          <w:lang w:val="pl-PL"/>
        </w:rPr>
      </w:pPr>
      <w:r w:rsidRPr="009162DC">
        <w:rPr>
          <w:b/>
          <w:bCs/>
          <w:lang w:val="pl-PL"/>
        </w:rPr>
        <w:t>Hiszpania</w:t>
      </w:r>
    </w:p>
    <w:p w:rsidR="009162DC" w:rsidRPr="009162DC" w:rsidRDefault="009162DC" w:rsidP="009162DC">
      <w:pPr>
        <w:rPr>
          <w:lang w:val="pl-PL"/>
        </w:rPr>
      </w:pPr>
      <w:r w:rsidRPr="009162DC">
        <w:rPr>
          <w:lang w:val="pl-PL"/>
        </w:rPr>
        <w:t xml:space="preserve">Podobnie jak Włochy, Hiszpania to kraj o dużej i ugruntowanej gospodarce, jednak o ograniczonym kontakcie z globalną działalnością gospodarczą, handlem i innymi ważniejszymi ośrodkami ludności. Zatem </w:t>
      </w:r>
      <w:r w:rsidR="000B43DD">
        <w:rPr>
          <w:lang w:val="pl-PL"/>
        </w:rPr>
        <w:t xml:space="preserve">Hiszpania </w:t>
      </w:r>
      <w:r w:rsidRPr="009162DC">
        <w:rPr>
          <w:lang w:val="pl-PL"/>
        </w:rPr>
        <w:t xml:space="preserve">również nie uplasowała się w pierwszej piątce rankingu w żadnej kategorii, uzyskując podobne wyniki pod względem różnych kryteriów. Zdecydowanie preferowaną lokalizacją był </w:t>
      </w:r>
      <w:r w:rsidRPr="001846AC">
        <w:rPr>
          <w:b/>
          <w:lang w:val="pl-PL"/>
        </w:rPr>
        <w:t>Madryt,</w:t>
      </w:r>
      <w:r w:rsidRPr="009162DC">
        <w:rPr>
          <w:lang w:val="pl-PL"/>
        </w:rPr>
        <w:t xml:space="preserve"> jako główne skupisko ludności o sprzyjającym otoczeniu rynkowym i dobrej infrastrukturze. </w:t>
      </w:r>
    </w:p>
    <w:p w:rsidR="009162DC" w:rsidRPr="009162DC" w:rsidRDefault="009162DC" w:rsidP="009162DC">
      <w:pPr>
        <w:rPr>
          <w:lang w:val="pl-PL"/>
        </w:rPr>
      </w:pPr>
      <w:r w:rsidRPr="009162DC">
        <w:rPr>
          <w:b/>
          <w:bCs/>
          <w:lang w:val="pl-PL"/>
        </w:rPr>
        <w:t>Francja</w:t>
      </w:r>
    </w:p>
    <w:p w:rsidR="009162DC" w:rsidRPr="009162DC" w:rsidRDefault="009162DC" w:rsidP="009162DC">
      <w:pPr>
        <w:rPr>
          <w:lang w:val="pl-PL"/>
        </w:rPr>
      </w:pPr>
      <w:r w:rsidRPr="009162DC">
        <w:rPr>
          <w:lang w:val="pl-PL"/>
        </w:rPr>
        <w:t xml:space="preserve">Francja wypadła różnie w rankingu, z jednej strony zyskując dzięki swej dużej gospodarce i dobrej jakości infrastrukturze drogowej, z drugiej zaś tracąc przez środowisko pracy i ogólną dynamikę kosztów-wartości. Spośród wielu rynków we Francji, </w:t>
      </w:r>
      <w:r w:rsidRPr="001846AC">
        <w:rPr>
          <w:b/>
          <w:lang w:val="pl-PL"/>
        </w:rPr>
        <w:t>Paryż</w:t>
      </w:r>
      <w:r w:rsidRPr="009162DC">
        <w:rPr>
          <w:lang w:val="pl-PL"/>
        </w:rPr>
        <w:t xml:space="preserve"> był najlepiej oceniany, dzięki swemu rozmiarowi, wielkości rynku logistycznego i bazy siły roboczej. Paryż znalazł się również wśród dużych rynków, których pozycja uległa najlepszej poprawie od naszej ostatniego badania w 2015 roku.</w:t>
      </w:r>
    </w:p>
    <w:p w:rsidR="009162DC" w:rsidRPr="007532BC" w:rsidRDefault="009162DC" w:rsidP="009162DC">
      <w:pPr>
        <w:rPr>
          <w:b/>
          <w:lang w:val="pl-PL"/>
        </w:rPr>
      </w:pPr>
      <w:r w:rsidRPr="007532BC">
        <w:rPr>
          <w:b/>
          <w:lang w:val="pl-PL"/>
        </w:rPr>
        <w:t>NAJWAŻNIEJSZE WYNIKI BADANIA</w:t>
      </w:r>
    </w:p>
    <w:p w:rsidR="009162DC" w:rsidRPr="009162DC" w:rsidRDefault="009162DC" w:rsidP="009162DC">
      <w:pPr>
        <w:rPr>
          <w:lang w:val="pl-PL"/>
        </w:rPr>
      </w:pPr>
      <w:r w:rsidRPr="009162DC">
        <w:rPr>
          <w:lang w:val="pl-PL"/>
        </w:rPr>
        <w:t xml:space="preserve">Po przebadaniu 100 lokalizacji udało się wyciągnąć pewne istotne wnioski. Venlo w południowej Holandii uzyskało wysokie wyniki we wszystkich pięciu kategoriach czynników </w:t>
      </w:r>
      <w:r w:rsidR="00B747B1">
        <w:rPr>
          <w:lang w:val="pl-PL"/>
        </w:rPr>
        <w:t xml:space="preserve">kształtujących </w:t>
      </w:r>
      <w:r w:rsidRPr="009162DC">
        <w:rPr>
          <w:lang w:val="pl-PL"/>
        </w:rPr>
        <w:t xml:space="preserve">wybór nowych lokalizacji i może być uznane za najbardziej pożądaną lokalizację w Europie. Rynki w krajach Beneluksu i w zachodnich Niemczech charakteryzują się dużym zagęszczeniem konsumentów i rozwiniętymi sieciami transportowymi, nie dziwi więc, że właśnie te lokalizacje uzyskały wysokie wyniki pod względem bliskości głównych centrów konsumpcji i infrastruktury transportowej. Rynki holenderskie uzyskały szczególnie dobre wyniki w kategorii regulacji formalno-prawnych i multimodalności – dwóch czynników istotnych z punktu widzenia rynków skupiających się na dystrybucji paneuropejskiej.  </w:t>
      </w:r>
      <w:proofErr w:type="spellStart"/>
      <w:r w:rsidRPr="009162DC">
        <w:rPr>
          <w:lang w:val="pl-PL"/>
        </w:rPr>
        <w:t>Düsseldorf</w:t>
      </w:r>
      <w:proofErr w:type="spellEnd"/>
      <w:r w:rsidRPr="009162DC">
        <w:rPr>
          <w:lang w:val="pl-PL"/>
        </w:rPr>
        <w:t xml:space="preserve"> </w:t>
      </w:r>
      <w:proofErr w:type="spellStart"/>
      <w:r w:rsidRPr="009162DC">
        <w:rPr>
          <w:lang w:val="pl-PL"/>
        </w:rPr>
        <w:t>Rhein</w:t>
      </w:r>
      <w:proofErr w:type="spellEnd"/>
      <w:r w:rsidRPr="009162DC">
        <w:rPr>
          <w:lang w:val="pl-PL"/>
        </w:rPr>
        <w:t xml:space="preserve">-Ruhr to kolejny </w:t>
      </w:r>
      <w:proofErr w:type="spellStart"/>
      <w:r w:rsidRPr="009162DC">
        <w:rPr>
          <w:lang w:val="pl-PL"/>
        </w:rPr>
        <w:t>podrynek</w:t>
      </w:r>
      <w:proofErr w:type="spellEnd"/>
      <w:r w:rsidRPr="009162DC">
        <w:rPr>
          <w:lang w:val="pl-PL"/>
        </w:rPr>
        <w:t xml:space="preserve"> o dobrych wynikach w różnych kategoriach. </w:t>
      </w:r>
      <w:proofErr w:type="spellStart"/>
      <w:r w:rsidRPr="009162DC">
        <w:rPr>
          <w:lang w:val="pl-PL"/>
        </w:rPr>
        <w:t>Rhein</w:t>
      </w:r>
      <w:proofErr w:type="spellEnd"/>
      <w:r w:rsidRPr="009162DC">
        <w:rPr>
          <w:lang w:val="pl-PL"/>
        </w:rPr>
        <w:t xml:space="preserve">-Ruhr jest położony centralnie w jednym z najgęściej zaludnionych rynków w Europie, dlatego też uzyskał szczególnie wysoki wynik w kategorii bliskości głównych centrów konsumpcji. W porównaniu z wynikami poprzedniego badania, rynek </w:t>
      </w:r>
      <w:proofErr w:type="spellStart"/>
      <w:r w:rsidRPr="009162DC">
        <w:rPr>
          <w:lang w:val="pl-PL"/>
        </w:rPr>
        <w:t>Düsseldorf</w:t>
      </w:r>
      <w:proofErr w:type="spellEnd"/>
      <w:r w:rsidRPr="009162DC">
        <w:rPr>
          <w:lang w:val="pl-PL"/>
        </w:rPr>
        <w:t xml:space="preserve"> </w:t>
      </w:r>
      <w:proofErr w:type="spellStart"/>
      <w:r w:rsidRPr="009162DC">
        <w:rPr>
          <w:lang w:val="pl-PL"/>
        </w:rPr>
        <w:t>Rhein</w:t>
      </w:r>
      <w:proofErr w:type="spellEnd"/>
      <w:r w:rsidRPr="009162DC">
        <w:rPr>
          <w:lang w:val="pl-PL"/>
        </w:rPr>
        <w:t xml:space="preserve">-Ruhr wykazał największy wzrost spośród 10 najlepszych rynków w tegorocznym badaniu. Rynki w Polsce odnotowały dobre wyniki w wielu kategoriach. Polski </w:t>
      </w:r>
      <w:r w:rsidRPr="009162DC">
        <w:rPr>
          <w:lang w:val="pl-PL"/>
        </w:rPr>
        <w:lastRenderedPageBreak/>
        <w:t xml:space="preserve">rynek dojrzewa, a </w:t>
      </w:r>
      <w:r w:rsidRPr="001846AC">
        <w:rPr>
          <w:b/>
          <w:lang w:val="pl-PL"/>
        </w:rPr>
        <w:t xml:space="preserve">Polska </w:t>
      </w:r>
      <w:proofErr w:type="spellStart"/>
      <w:r w:rsidRPr="001846AC">
        <w:rPr>
          <w:b/>
          <w:lang w:val="pl-PL"/>
        </w:rPr>
        <w:t>Centralna-Łódź</w:t>
      </w:r>
      <w:proofErr w:type="spellEnd"/>
      <w:r w:rsidRPr="009162DC">
        <w:rPr>
          <w:lang w:val="pl-PL"/>
        </w:rPr>
        <w:t xml:space="preserve"> jest pierwszym rynkiem spoza Europy Zachodniej, któremu udało się uplasować w pierwszej piątce.</w:t>
      </w:r>
    </w:p>
    <w:p w:rsidR="009162DC" w:rsidRPr="009162DC" w:rsidRDefault="009162DC" w:rsidP="009162DC">
      <w:pPr>
        <w:rPr>
          <w:lang w:val="pl-PL"/>
        </w:rPr>
      </w:pPr>
      <w:r w:rsidRPr="009162DC">
        <w:rPr>
          <w:lang w:val="pl-PL"/>
        </w:rPr>
        <w:t xml:space="preserve">• Venlo: Najbardziej pożądana lokalizacja w Europie </w:t>
      </w:r>
    </w:p>
    <w:p w:rsidR="009162DC" w:rsidRPr="009162DC" w:rsidRDefault="009162DC" w:rsidP="009162DC">
      <w:pPr>
        <w:rPr>
          <w:lang w:val="pl-PL"/>
        </w:rPr>
      </w:pPr>
      <w:r w:rsidRPr="009162DC">
        <w:rPr>
          <w:lang w:val="pl-PL"/>
        </w:rPr>
        <w:t xml:space="preserve">• </w:t>
      </w:r>
      <w:proofErr w:type="spellStart"/>
      <w:r w:rsidRPr="009162DC">
        <w:rPr>
          <w:lang w:val="pl-PL"/>
        </w:rPr>
        <w:t>Düsseldorf</w:t>
      </w:r>
      <w:proofErr w:type="spellEnd"/>
      <w:r w:rsidRPr="009162DC">
        <w:rPr>
          <w:lang w:val="pl-PL"/>
        </w:rPr>
        <w:t xml:space="preserve"> </w:t>
      </w:r>
      <w:proofErr w:type="spellStart"/>
      <w:r w:rsidRPr="009162DC">
        <w:rPr>
          <w:lang w:val="pl-PL"/>
        </w:rPr>
        <w:t>Rhein</w:t>
      </w:r>
      <w:proofErr w:type="spellEnd"/>
      <w:r w:rsidRPr="009162DC">
        <w:rPr>
          <w:lang w:val="pl-PL"/>
        </w:rPr>
        <w:t xml:space="preserve">-Ruhr: największy wzrost spośród najlepszej 10 </w:t>
      </w:r>
    </w:p>
    <w:p w:rsidR="009162DC" w:rsidRPr="009162DC" w:rsidRDefault="009162DC" w:rsidP="009162DC">
      <w:pPr>
        <w:rPr>
          <w:lang w:val="pl-PL"/>
        </w:rPr>
      </w:pPr>
      <w:r w:rsidRPr="009162DC">
        <w:rPr>
          <w:lang w:val="pl-PL"/>
        </w:rPr>
        <w:t>• Polska Centralna -Łódź: najlepsze wyniki poza Europą Zachodnią</w:t>
      </w:r>
    </w:p>
    <w:p w:rsidR="009162DC" w:rsidRPr="009162DC" w:rsidRDefault="009162DC" w:rsidP="009162DC">
      <w:pPr>
        <w:pBdr>
          <w:bottom w:val="single" w:sz="8" w:space="2" w:color="000000"/>
        </w:pBdr>
        <w:rPr>
          <w:sz w:val="2"/>
          <w:lang w:val="pl-PL"/>
        </w:rPr>
      </w:pPr>
    </w:p>
    <w:p w:rsidR="009162DC" w:rsidRPr="009162DC" w:rsidRDefault="009162DC" w:rsidP="009162DC">
      <w:pPr>
        <w:rPr>
          <w:sz w:val="20"/>
          <w:lang w:val="pl-PL"/>
        </w:rPr>
      </w:pPr>
      <w:r w:rsidRPr="009162DC">
        <w:rPr>
          <w:sz w:val="20"/>
          <w:lang w:val="pl-PL"/>
        </w:rPr>
        <w:t xml:space="preserve">Niniejszy materiał nie może być traktowany jako oferta sprzedaży lub jako rekomendacja do nabycia jakichkolwiek papierów wartościowych. Za pomocą niniejszego materiału nie zachęcamy do podejmowania jakichkolwiek działań – ma on charakter informacyjny i jest przeznaczony dla klientów </w:t>
      </w:r>
      <w:proofErr w:type="spellStart"/>
      <w:r w:rsidRPr="009162DC">
        <w:rPr>
          <w:sz w:val="20"/>
          <w:lang w:val="pl-PL"/>
        </w:rPr>
        <w:t>Prologis</w:t>
      </w:r>
      <w:proofErr w:type="spellEnd"/>
      <w:r w:rsidRPr="009162DC">
        <w:rPr>
          <w:sz w:val="20"/>
          <w:lang w:val="pl-PL"/>
        </w:rPr>
        <w:t xml:space="preserve">. Niniejszy raport oparty jest częściowo na powszechnie dostępnych informacjach, które uważamy za wiarygodne, lecz co do których nie możemy zagwarantować, że są dokładne lub kompletne, w związku z czym nie można ich traktować jako takie. Nie składamy żadnych oświadczeń co do dokładności lub kompletności jakichkolwiek zawartych w niniejszym dokumencie informacji. Wyrażone w nim opinie są naszymi opiniami ważnymi wyłącznie na dzień sporządzenia dokumentu. </w:t>
      </w:r>
      <w:proofErr w:type="spellStart"/>
      <w:r w:rsidRPr="009162DC">
        <w:rPr>
          <w:sz w:val="20"/>
          <w:lang w:val="pl-PL"/>
        </w:rPr>
        <w:t>Prologis</w:t>
      </w:r>
      <w:proofErr w:type="spellEnd"/>
      <w:r w:rsidRPr="009162DC">
        <w:rPr>
          <w:sz w:val="20"/>
          <w:lang w:val="pl-PL"/>
        </w:rPr>
        <w:t xml:space="preserve"> zrzeka się jakiejkolwiek odpowiedzialności związanej z niniejszym raportem, w tym między innymi za wszelkie wyraźne lub dorozumiane oświadczenia lub gwarancje dotyczące przedstawionych w nim sformułowań, zawartych w nim błędów lub występujących w nim pominięć. Wszelkie zawarte w niniejszym raporcie oczekiwania, szacunki i prognozy mają wyłącznie charakter oświadczeń dotyczących przyszłości. Choć uważamy, że oczekiwania przedstawione we wszelkich oświadczeniach dotyczących przyszłości oparte są na rozsądnych i uzasadnionych założeniach, to nie możemy zagwarantować, że owe oczekiwania się spełnią. Szacunki takie uzależnione są od rzeczywistych </w:t>
      </w:r>
      <w:proofErr w:type="spellStart"/>
      <w:r w:rsidRPr="009162DC">
        <w:rPr>
          <w:sz w:val="20"/>
          <w:lang w:val="pl-PL"/>
        </w:rPr>
        <w:t>ryzyk</w:t>
      </w:r>
      <w:proofErr w:type="spellEnd"/>
      <w:r w:rsidRPr="009162DC">
        <w:rPr>
          <w:sz w:val="20"/>
          <w:lang w:val="pl-PL"/>
        </w:rPr>
        <w:t xml:space="preserve">, zarówno znanych, jak i nieznanych, od zmiennych oraz od innych czynników, które mogą sprawić, że rzeczywiste wyniki będą różnić się znacząco od przewidywanych. Oświadczenia dotyczące przyszłości dotyczą wyłącznie stanu na dzień sporządzenia niniejszego raportu. W sposób wyraźny zrzekamy się jakiegokolwiek zobowiązania lub obowiązku do zaktualizowania lub zmiany dowolnego oświadczenia dotyczącego przyszłości zawartego w niniejszym dokumencie tak, aby odzwierciedlało ono jakiekolwiek zmiany w naszych oczekiwaniach lub zmiany w okolicznościach, na jakich takie oświadczenie jest oparte. Kopiowanie, wykonywanie fotokopii lub powielanie bez względu na formę lub metodę, lub rozpowszechnianie dowolnej części niniejszego materiału bez uprzedniej pisemnej zgody </w:t>
      </w:r>
      <w:proofErr w:type="spellStart"/>
      <w:r w:rsidRPr="009162DC">
        <w:rPr>
          <w:sz w:val="20"/>
          <w:lang w:val="pl-PL"/>
        </w:rPr>
        <w:t>Prologis</w:t>
      </w:r>
      <w:proofErr w:type="spellEnd"/>
      <w:r w:rsidRPr="009162DC">
        <w:rPr>
          <w:sz w:val="20"/>
          <w:lang w:val="pl-PL"/>
        </w:rPr>
        <w:t xml:space="preserve"> jest zabronione.</w:t>
      </w:r>
    </w:p>
    <w:p w:rsidR="009162DC" w:rsidRPr="007532BC" w:rsidRDefault="009162DC" w:rsidP="009162DC">
      <w:pPr>
        <w:rPr>
          <w:sz w:val="20"/>
          <w:lang w:val="pl-PL"/>
        </w:rPr>
      </w:pPr>
      <w:r w:rsidRPr="007532BC">
        <w:rPr>
          <w:sz w:val="20"/>
          <w:lang w:val="pl-PL"/>
        </w:rPr>
        <w:t xml:space="preserve">PROLOGIS RESEARCH </w:t>
      </w:r>
    </w:p>
    <w:p w:rsidR="009162DC" w:rsidRPr="009162DC" w:rsidRDefault="009162DC" w:rsidP="009162DC">
      <w:pPr>
        <w:rPr>
          <w:sz w:val="20"/>
          <w:lang w:val="pl-PL"/>
        </w:rPr>
      </w:pPr>
      <w:r w:rsidRPr="009162DC">
        <w:rPr>
          <w:sz w:val="20"/>
          <w:lang w:val="pl-PL"/>
        </w:rPr>
        <w:t xml:space="preserve">Dział </w:t>
      </w:r>
      <w:proofErr w:type="spellStart"/>
      <w:r w:rsidRPr="009162DC">
        <w:rPr>
          <w:sz w:val="20"/>
          <w:lang w:val="pl-PL"/>
        </w:rPr>
        <w:t>Prologis</w:t>
      </w:r>
      <w:proofErr w:type="spellEnd"/>
      <w:r w:rsidRPr="009162DC">
        <w:rPr>
          <w:sz w:val="20"/>
          <w:lang w:val="pl-PL"/>
        </w:rPr>
        <w:t xml:space="preserve"> </w:t>
      </w:r>
      <w:proofErr w:type="spellStart"/>
      <w:r w:rsidRPr="009162DC">
        <w:rPr>
          <w:sz w:val="20"/>
          <w:lang w:val="pl-PL"/>
        </w:rPr>
        <w:t>Research</w:t>
      </w:r>
      <w:proofErr w:type="spellEnd"/>
      <w:r w:rsidRPr="009162DC">
        <w:rPr>
          <w:sz w:val="20"/>
          <w:lang w:val="pl-PL"/>
        </w:rPr>
        <w:t xml:space="preserve"> analizuje kluczowe tendencje rynkowe, trendy inwestycyjne oraz potrzeby klientów </w:t>
      </w:r>
      <w:proofErr w:type="spellStart"/>
      <w:r w:rsidRPr="009162DC">
        <w:rPr>
          <w:sz w:val="20"/>
          <w:lang w:val="pl-PL"/>
        </w:rPr>
        <w:t>Prologis</w:t>
      </w:r>
      <w:proofErr w:type="spellEnd"/>
      <w:r w:rsidRPr="009162DC">
        <w:rPr>
          <w:sz w:val="20"/>
          <w:lang w:val="pl-PL"/>
        </w:rPr>
        <w:t xml:space="preserve"> działających na czterech kontynentach na całym świecie, wspomagając ich w wykorzystywaniu pojawiających się szans oraz w unikaniu zbędnego ryzyka. Zespół </w:t>
      </w:r>
      <w:proofErr w:type="spellStart"/>
      <w:r w:rsidRPr="009162DC">
        <w:rPr>
          <w:sz w:val="20"/>
          <w:lang w:val="pl-PL"/>
        </w:rPr>
        <w:t>Prologis</w:t>
      </w:r>
      <w:proofErr w:type="spellEnd"/>
      <w:r w:rsidRPr="009162DC">
        <w:rPr>
          <w:sz w:val="20"/>
          <w:lang w:val="pl-PL"/>
        </w:rPr>
        <w:t xml:space="preserve"> </w:t>
      </w:r>
      <w:proofErr w:type="spellStart"/>
      <w:r w:rsidRPr="009162DC">
        <w:rPr>
          <w:sz w:val="20"/>
          <w:lang w:val="pl-PL"/>
        </w:rPr>
        <w:t>Research</w:t>
      </w:r>
      <w:proofErr w:type="spellEnd"/>
      <w:r w:rsidRPr="009162DC">
        <w:rPr>
          <w:sz w:val="20"/>
          <w:lang w:val="pl-PL"/>
        </w:rPr>
        <w:t xml:space="preserve"> przyczynia się do podejmowania właściwych decyzji inwestycyjnych oraz długofalowych inicjatyw strategicznych. Publikuje także raporty badawcze oraz inne raporty. </w:t>
      </w:r>
      <w:proofErr w:type="spellStart"/>
      <w:r w:rsidRPr="009162DC">
        <w:rPr>
          <w:sz w:val="20"/>
          <w:lang w:val="pl-PL"/>
        </w:rPr>
        <w:t>Prologis</w:t>
      </w:r>
      <w:proofErr w:type="spellEnd"/>
      <w:r w:rsidRPr="009162DC">
        <w:rPr>
          <w:sz w:val="20"/>
          <w:lang w:val="pl-PL"/>
        </w:rPr>
        <w:t xml:space="preserve"> wydaje opracowania dotyczące trendów rynkowych wpływających na działalność klientów firmy. Opracowania te poświęcone są kwestiom kluczowym z punktu widzenia łańcucha dostaw i najnowszym wydarzeniom w branży </w:t>
      </w:r>
      <w:r w:rsidRPr="009162DC">
        <w:rPr>
          <w:sz w:val="20"/>
          <w:lang w:val="pl-PL"/>
        </w:rPr>
        <w:lastRenderedPageBreak/>
        <w:t xml:space="preserve">logistycznej oraz w sektorze nieruchomości. Wyspecjalizowany zespół badawczy </w:t>
      </w:r>
      <w:proofErr w:type="spellStart"/>
      <w:r w:rsidRPr="009162DC">
        <w:rPr>
          <w:sz w:val="20"/>
          <w:lang w:val="pl-PL"/>
        </w:rPr>
        <w:t>Prologis</w:t>
      </w:r>
      <w:proofErr w:type="spellEnd"/>
      <w:r w:rsidRPr="009162DC">
        <w:rPr>
          <w:sz w:val="20"/>
          <w:lang w:val="pl-PL"/>
        </w:rPr>
        <w:t xml:space="preserve"> współpracuje ze wszystkimi działami firmy, wspomagając zdobywanie nowych rynków, rozwijanie działalności, jak również strategie związane z przejęciami oraz ogólnym rozwojem firmy.</w:t>
      </w:r>
    </w:p>
    <w:p w:rsidR="009162DC" w:rsidRPr="009162DC" w:rsidRDefault="009162DC" w:rsidP="009162DC">
      <w:pPr>
        <w:rPr>
          <w:sz w:val="20"/>
          <w:lang w:val="pl-PL"/>
        </w:rPr>
      </w:pPr>
      <w:bookmarkStart w:id="0" w:name="_GoBack"/>
      <w:bookmarkEnd w:id="0"/>
      <w:r w:rsidRPr="009162DC">
        <w:rPr>
          <w:sz w:val="20"/>
          <w:lang w:val="pl-PL"/>
        </w:rPr>
        <w:t xml:space="preserve">O PROLOGIS </w:t>
      </w:r>
    </w:p>
    <w:p w:rsidR="009162DC" w:rsidRPr="009162DC" w:rsidRDefault="009162DC" w:rsidP="009162DC">
      <w:pPr>
        <w:rPr>
          <w:sz w:val="20"/>
          <w:lang w:val="pl-PL"/>
        </w:rPr>
      </w:pPr>
      <w:proofErr w:type="spellStart"/>
      <w:r w:rsidRPr="009162DC">
        <w:rPr>
          <w:sz w:val="20"/>
          <w:lang w:val="pl-PL"/>
        </w:rPr>
        <w:t>Prologis</w:t>
      </w:r>
      <w:proofErr w:type="spellEnd"/>
      <w:r w:rsidRPr="009162DC">
        <w:rPr>
          <w:sz w:val="20"/>
          <w:lang w:val="pl-PL"/>
        </w:rPr>
        <w:t xml:space="preserve">, Inc., jest światowym liderem na rynku nieruchomości logistycznych skoncentrowanym na dynamicznie rozwijających się rynkach z wysokimi barierami wejścia. </w:t>
      </w:r>
      <w:proofErr w:type="spellStart"/>
      <w:r w:rsidRPr="009162DC">
        <w:rPr>
          <w:sz w:val="20"/>
          <w:lang w:val="pl-PL"/>
        </w:rPr>
        <w:t>Prologis</w:t>
      </w:r>
      <w:proofErr w:type="spellEnd"/>
      <w:r w:rsidRPr="009162DC">
        <w:rPr>
          <w:sz w:val="20"/>
          <w:lang w:val="pl-PL"/>
        </w:rPr>
        <w:t xml:space="preserve"> jest właścicielem lub inwestorem (w ujęciu skonsolidowanym lub poprzez nieskonsolidowane spółki joint venture) nieruchomości i projektów deweloperskich o oczekiwanej łącznej powierzchni 64 milionów metrów kwadratowych w 19 krajach (stan na 30 czerwca 2017). </w:t>
      </w:r>
      <w:proofErr w:type="spellStart"/>
      <w:r w:rsidRPr="009162DC">
        <w:rPr>
          <w:sz w:val="20"/>
          <w:lang w:val="pl-PL"/>
        </w:rPr>
        <w:t>Prologis</w:t>
      </w:r>
      <w:proofErr w:type="spellEnd"/>
      <w:r w:rsidRPr="009162DC">
        <w:rPr>
          <w:sz w:val="20"/>
          <w:lang w:val="pl-PL"/>
        </w:rPr>
        <w:t xml:space="preserve"> wynajmuje nowoczesne obiekty dystrybucyjne ponad 5 200 różnym klientom obejmujących dwie główne kategorie: B2B oraz handel detaliczny/usługi e-</w:t>
      </w:r>
      <w:proofErr w:type="spellStart"/>
      <w:r w:rsidRPr="009162DC">
        <w:rPr>
          <w:sz w:val="20"/>
          <w:lang w:val="pl-PL"/>
        </w:rPr>
        <w:t>fulfillment</w:t>
      </w:r>
      <w:proofErr w:type="spellEnd"/>
      <w:r w:rsidRPr="009162DC">
        <w:rPr>
          <w:sz w:val="20"/>
          <w:lang w:val="pl-PL"/>
        </w:rPr>
        <w:t>.</w:t>
      </w:r>
    </w:p>
    <w:sectPr w:rsidR="009162DC" w:rsidRPr="009162DC" w:rsidSect="00971308">
      <w:headerReference w:type="default" r:id="rId8"/>
      <w:footerReference w:type="default" r:id="rId9"/>
      <w:headerReference w:type="first" r:id="rId10"/>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DD3" w:rsidRDefault="00027DD3" w:rsidP="00D57B7E">
      <w:pPr>
        <w:spacing w:after="0" w:line="240" w:lineRule="auto"/>
      </w:pPr>
      <w:r>
        <w:separator/>
      </w:r>
    </w:p>
  </w:endnote>
  <w:endnote w:type="continuationSeparator" w:id="0">
    <w:p w:rsidR="00027DD3" w:rsidRDefault="00027DD3" w:rsidP="00D5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EE"/>
    <w:family w:val="auto"/>
    <w:pitch w:val="default"/>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Light">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6E5" w:rsidRPr="00BF089A" w:rsidRDefault="001846AC" w:rsidP="00334256">
    <w:pPr>
      <w:jc w:val="right"/>
      <w:rPr>
        <w:rFonts w:cs="Segoe UI"/>
        <w:sz w:val="19"/>
        <w:szCs w:val="19"/>
      </w:rPr>
    </w:pPr>
    <w:sdt>
      <w:sdtPr>
        <w:id w:val="303049236"/>
        <w:docPartObj>
          <w:docPartGallery w:val="Page Numbers (Bottom of Page)"/>
          <w:docPartUnique/>
        </w:docPartObj>
      </w:sdtPr>
      <w:sdtEndPr>
        <w:rPr>
          <w:rFonts w:cs="Segoe UI"/>
          <w:noProof/>
          <w:sz w:val="19"/>
          <w:szCs w:val="19"/>
        </w:rPr>
      </w:sdtEndPr>
      <w:sdtContent>
        <w:r w:rsidR="001B1DB2" w:rsidRPr="00BF089A">
          <w:rPr>
            <w:rFonts w:cs="Segoe UI"/>
            <w:sz w:val="19"/>
            <w:szCs w:val="19"/>
          </w:rPr>
          <w:fldChar w:fldCharType="begin"/>
        </w:r>
        <w:r w:rsidR="004336E5" w:rsidRPr="00BF089A">
          <w:rPr>
            <w:rFonts w:cs="Segoe UI"/>
            <w:sz w:val="19"/>
            <w:szCs w:val="19"/>
          </w:rPr>
          <w:instrText xml:space="preserve"> PAGE   \* MERGEFORMAT </w:instrText>
        </w:r>
        <w:r w:rsidR="001B1DB2" w:rsidRPr="00BF089A">
          <w:rPr>
            <w:rFonts w:cs="Segoe UI"/>
            <w:sz w:val="19"/>
            <w:szCs w:val="19"/>
          </w:rPr>
          <w:fldChar w:fldCharType="separate"/>
        </w:r>
        <w:r>
          <w:rPr>
            <w:rFonts w:cs="Segoe UI"/>
            <w:noProof/>
            <w:sz w:val="19"/>
            <w:szCs w:val="19"/>
          </w:rPr>
          <w:t>7</w:t>
        </w:r>
        <w:r w:rsidR="001B1DB2" w:rsidRPr="00BF089A">
          <w:rPr>
            <w:rFonts w:cs="Segoe UI"/>
            <w:sz w:val="19"/>
            <w:szCs w:val="19"/>
          </w:rPr>
          <w:fldChar w:fldCharType="end"/>
        </w:r>
      </w:sdtContent>
    </w:sdt>
  </w:p>
  <w:p w:rsidR="00DD3496" w:rsidRDefault="00DD34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DD3" w:rsidRDefault="00027DD3" w:rsidP="00D57B7E">
      <w:pPr>
        <w:spacing w:after="0" w:line="240" w:lineRule="auto"/>
      </w:pPr>
      <w:r>
        <w:separator/>
      </w:r>
    </w:p>
  </w:footnote>
  <w:footnote w:type="continuationSeparator" w:id="0">
    <w:p w:rsidR="00027DD3" w:rsidRDefault="00027DD3" w:rsidP="00D57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215" w:rsidRDefault="000F3215" w:rsidP="005973A1">
    <w:pPr>
      <w:jc w:val="right"/>
    </w:pPr>
  </w:p>
  <w:p w:rsidR="000F3215" w:rsidRDefault="000F32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067" w:rsidRDefault="00AA5067"/>
  <w:p w:rsidR="00DD3496" w:rsidRDefault="00334256">
    <w:r w:rsidRPr="00E65DB0">
      <w:rPr>
        <w:noProof/>
        <w:lang w:val="pl-PL" w:eastAsia="pl-PL"/>
      </w:rPr>
      <w:drawing>
        <wp:anchor distT="0" distB="0" distL="114300" distR="114300" simplePos="0" relativeHeight="251672576" behindDoc="0" locked="0" layoutInCell="1" allowOverlap="1">
          <wp:simplePos x="0" y="0"/>
          <wp:positionH relativeFrom="margin">
            <wp:posOffset>4291330</wp:posOffset>
          </wp:positionH>
          <wp:positionV relativeFrom="page">
            <wp:posOffset>707390</wp:posOffset>
          </wp:positionV>
          <wp:extent cx="1661160" cy="312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D_LOGO_REVERSE@1x.png"/>
                  <pic:cNvPicPr/>
                </pic:nvPicPr>
                <pic:blipFill>
                  <a:blip r:embed="rId1">
                    <a:extLst>
                      <a:ext uri="{28A0092B-C50C-407E-A947-70E740481C1C}">
                        <a14:useLocalDpi xmlns:a14="http://schemas.microsoft.com/office/drawing/2010/main" val="0"/>
                      </a:ext>
                    </a:extLst>
                  </a:blip>
                  <a:stretch>
                    <a:fillRect/>
                  </a:stretch>
                </pic:blipFill>
                <pic:spPr>
                  <a:xfrm>
                    <a:off x="0" y="0"/>
                    <a:ext cx="1661160" cy="312420"/>
                  </a:xfrm>
                  <a:prstGeom prst="rect">
                    <a:avLst/>
                  </a:prstGeom>
                </pic:spPr>
              </pic:pic>
            </a:graphicData>
          </a:graphic>
        </wp:anchor>
      </w:drawing>
    </w:r>
    <w:r w:rsidR="009162DC">
      <w:t>RAPORT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4299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E288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90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1A47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1853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8426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83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A6A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F08D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EC4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3"/>
    <w:multiLevelType w:val="multilevel"/>
    <w:tmpl w:val="00000003"/>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2" w15:restartNumberingAfterBreak="0">
    <w:nsid w:val="0B7B2D82"/>
    <w:multiLevelType w:val="hybridMultilevel"/>
    <w:tmpl w:val="DD8CC6FC"/>
    <w:lvl w:ilvl="0" w:tplc="04090001">
      <w:start w:val="1"/>
      <w:numFmt w:val="bullet"/>
      <w:lvlText w:val=""/>
      <w:lvlJc w:val="left"/>
      <w:pPr>
        <w:ind w:left="720" w:hanging="360"/>
      </w:pPr>
      <w:rPr>
        <w:rFonts w:ascii="Symbol" w:hAnsi="Symbol" w:hint="default"/>
      </w:rPr>
    </w:lvl>
    <w:lvl w:ilvl="1" w:tplc="033A084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606F8F"/>
    <w:multiLevelType w:val="hybridMultilevel"/>
    <w:tmpl w:val="2FB469AC"/>
    <w:lvl w:ilvl="0" w:tplc="1CCAB318">
      <w:numFmt w:val="bullet"/>
      <w:lvlText w:val="■"/>
      <w:lvlJc w:val="left"/>
      <w:pPr>
        <w:ind w:left="720" w:hanging="360"/>
      </w:pPr>
      <w:rPr>
        <w:rFonts w:ascii="Arial" w:hAnsi="Arial" w:hint="default"/>
        <w:color w:val="808080"/>
        <w:sz w:val="16"/>
        <w:u w:color="009A80"/>
      </w:rPr>
    </w:lvl>
    <w:lvl w:ilvl="1" w:tplc="C854F016">
      <w:numFmt w:val="bullet"/>
      <w:lvlText w:val="-"/>
      <w:lvlJc w:val="left"/>
      <w:pPr>
        <w:ind w:left="1440" w:hanging="360"/>
      </w:pPr>
      <w:rPr>
        <w:rFonts w:ascii="Arial" w:hAnsi="Arial" w:hint="default"/>
        <w:color w:val="A6A6A6" w:themeColor="background1" w:themeShade="A6"/>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595A2F"/>
    <w:multiLevelType w:val="hybridMultilevel"/>
    <w:tmpl w:val="0150A820"/>
    <w:lvl w:ilvl="0" w:tplc="A684B49A">
      <w:start w:val="1"/>
      <w:numFmt w:val="bullet"/>
      <w:lvlText w:val="●"/>
      <w:lvlJc w:val="left"/>
      <w:pPr>
        <w:ind w:left="720" w:hanging="360"/>
      </w:pPr>
      <w:rPr>
        <w:rFonts w:ascii="Segoe UI" w:hAnsi="Segoe UI" w:hint="default"/>
        <w:color w:val="808080"/>
        <w:position w:val="0"/>
        <w:sz w:val="20"/>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0A3B9F"/>
    <w:multiLevelType w:val="hybridMultilevel"/>
    <w:tmpl w:val="19E01174"/>
    <w:lvl w:ilvl="0" w:tplc="0FC2D7D8">
      <w:start w:val="1"/>
      <w:numFmt w:val="bullet"/>
      <w:lvlText w:val="●"/>
      <w:lvlJc w:val="left"/>
      <w:pPr>
        <w:ind w:left="720" w:hanging="360"/>
      </w:pPr>
      <w:rPr>
        <w:rFonts w:ascii="Segoe UI" w:hAnsi="Segoe UI" w:hint="default"/>
        <w:color w:val="000000" w:themeColor="text1"/>
        <w:position w:val="2"/>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9E321A"/>
    <w:multiLevelType w:val="hybridMultilevel"/>
    <w:tmpl w:val="94F60E5A"/>
    <w:lvl w:ilvl="0" w:tplc="0E74E45E">
      <w:start w:val="1"/>
      <w:numFmt w:val="bullet"/>
      <w:lvlText w:val=""/>
      <w:lvlJc w:val="left"/>
      <w:pPr>
        <w:ind w:left="720" w:hanging="360"/>
      </w:pPr>
      <w:rPr>
        <w:rFonts w:ascii="Symbol" w:hAnsi="Symbol"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A122EA"/>
    <w:multiLevelType w:val="hybridMultilevel"/>
    <w:tmpl w:val="2EC22EF0"/>
    <w:lvl w:ilvl="0" w:tplc="1CCAB318">
      <w:numFmt w:val="bullet"/>
      <w:lvlText w:val="■"/>
      <w:lvlJc w:val="left"/>
      <w:pPr>
        <w:ind w:left="720" w:hanging="360"/>
      </w:pPr>
      <w:rPr>
        <w:rFonts w:ascii="Arial" w:hAnsi="Arial" w:hint="default"/>
        <w:color w:val="808080"/>
        <w:sz w:val="16"/>
        <w:u w:color="009A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754BE3"/>
    <w:multiLevelType w:val="hybridMultilevel"/>
    <w:tmpl w:val="F7D8DCA4"/>
    <w:lvl w:ilvl="0" w:tplc="BC1AE4FC">
      <w:start w:val="1"/>
      <w:numFmt w:val="bullet"/>
      <w:lvlText w:val="●"/>
      <w:lvlJc w:val="left"/>
      <w:pPr>
        <w:ind w:left="720" w:hanging="360"/>
      </w:pPr>
      <w:rPr>
        <w:rFonts w:ascii="Segoe UI" w:hAnsi="Segoe UI" w:hint="default"/>
        <w:color w:val="808080"/>
        <w:position w:val="2"/>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07232F"/>
    <w:multiLevelType w:val="hybridMultilevel"/>
    <w:tmpl w:val="F4A605A2"/>
    <w:lvl w:ilvl="0" w:tplc="579A4B12">
      <w:start w:val="1"/>
      <w:numFmt w:val="bullet"/>
      <w:lvlText w:val=""/>
      <w:lvlJc w:val="left"/>
      <w:pPr>
        <w:tabs>
          <w:tab w:val="num" w:pos="360"/>
        </w:tabs>
        <w:ind w:left="360" w:hanging="360"/>
      </w:pPr>
      <w:rPr>
        <w:rFonts w:ascii="Wingdings" w:hAnsi="Wingdings" w:hint="default"/>
        <w:b/>
        <w:i w:val="0"/>
        <w:color w:val="auto"/>
        <w:sz w:val="18"/>
        <w:szCs w:val="18"/>
      </w:rPr>
    </w:lvl>
    <w:lvl w:ilvl="1" w:tplc="8102D2A4">
      <w:start w:val="1"/>
      <w:numFmt w:val="bullet"/>
      <w:lvlText w:val=""/>
      <w:lvlJc w:val="left"/>
      <w:pPr>
        <w:tabs>
          <w:tab w:val="num" w:pos="1080"/>
        </w:tabs>
        <w:ind w:left="10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1ED04A27"/>
    <w:multiLevelType w:val="hybridMultilevel"/>
    <w:tmpl w:val="E0A2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563E00"/>
    <w:multiLevelType w:val="hybridMultilevel"/>
    <w:tmpl w:val="8F60CFF0"/>
    <w:lvl w:ilvl="0" w:tplc="6B9006FE">
      <w:start w:val="1"/>
      <w:numFmt w:val="bullet"/>
      <w:lvlText w:val=""/>
      <w:lvlJc w:val="left"/>
      <w:pPr>
        <w:ind w:left="720" w:hanging="360"/>
      </w:pPr>
      <w:rPr>
        <w:rFonts w:ascii="Wingdings" w:hAnsi="Wingdings" w:hint="default"/>
        <w:u w:color="009A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E86E58"/>
    <w:multiLevelType w:val="hybridMultilevel"/>
    <w:tmpl w:val="DCA4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03783"/>
    <w:multiLevelType w:val="hybridMultilevel"/>
    <w:tmpl w:val="ACA0F41E"/>
    <w:lvl w:ilvl="0" w:tplc="71BEFDA0">
      <w:start w:val="1"/>
      <w:numFmt w:val="bullet"/>
      <w:lvlText w:val="●"/>
      <w:lvlJc w:val="left"/>
      <w:pPr>
        <w:ind w:left="720" w:hanging="360"/>
      </w:pPr>
      <w:rPr>
        <w:rFonts w:ascii="Segoe UI" w:hAnsi="Segoe UI"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8F2634"/>
    <w:multiLevelType w:val="multilevel"/>
    <w:tmpl w:val="AD7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2F1156"/>
    <w:multiLevelType w:val="hybridMultilevel"/>
    <w:tmpl w:val="74D45814"/>
    <w:lvl w:ilvl="0" w:tplc="1CCAB318">
      <w:numFmt w:val="bullet"/>
      <w:lvlText w:val="■"/>
      <w:lvlJc w:val="left"/>
      <w:pPr>
        <w:ind w:left="720" w:hanging="360"/>
      </w:pPr>
      <w:rPr>
        <w:rFonts w:ascii="Arial" w:hAnsi="Arial" w:hint="default"/>
        <w:color w:val="808080"/>
        <w:sz w:val="16"/>
        <w:u w:color="009A80"/>
      </w:rPr>
    </w:lvl>
    <w:lvl w:ilvl="1" w:tplc="C2782646">
      <w:numFmt w:val="bullet"/>
      <w:lvlText w:val="‒"/>
      <w:lvlJc w:val="left"/>
      <w:pPr>
        <w:ind w:left="1440" w:hanging="360"/>
      </w:pPr>
      <w:rPr>
        <w:rFonts w:ascii="Segoe UI" w:hAnsi="Segoe UI" w:hint="default"/>
        <w:b/>
        <w:i w:val="0"/>
        <w:color w:val="A6A6A6" w:themeColor="background1" w:themeShade="A6"/>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5737B5"/>
    <w:multiLevelType w:val="hybridMultilevel"/>
    <w:tmpl w:val="C64C03C2"/>
    <w:lvl w:ilvl="0" w:tplc="0E74E45E">
      <w:start w:val="1"/>
      <w:numFmt w:val="bullet"/>
      <w:lvlText w:val=""/>
      <w:lvlJc w:val="left"/>
      <w:pPr>
        <w:ind w:left="720" w:hanging="360"/>
      </w:pPr>
      <w:rPr>
        <w:rFonts w:ascii="Symbol" w:hAnsi="Symbol"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4C3EFB"/>
    <w:multiLevelType w:val="hybridMultilevel"/>
    <w:tmpl w:val="92322242"/>
    <w:lvl w:ilvl="0" w:tplc="682CD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490FF7"/>
    <w:multiLevelType w:val="multilevel"/>
    <w:tmpl w:val="4438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E1195F"/>
    <w:multiLevelType w:val="hybridMultilevel"/>
    <w:tmpl w:val="30A8F846"/>
    <w:lvl w:ilvl="0" w:tplc="1CCAB318">
      <w:numFmt w:val="bullet"/>
      <w:lvlText w:val="■"/>
      <w:lvlJc w:val="left"/>
      <w:pPr>
        <w:ind w:left="720" w:hanging="360"/>
      </w:pPr>
      <w:rPr>
        <w:rFonts w:ascii="Arial" w:hAnsi="Arial" w:hint="default"/>
        <w:color w:val="808080"/>
        <w:sz w:val="16"/>
        <w:u w:color="009A80"/>
      </w:rPr>
    </w:lvl>
    <w:lvl w:ilvl="1" w:tplc="B20A9970">
      <w:numFmt w:val="bullet"/>
      <w:lvlText w:val="‒"/>
      <w:lvlJc w:val="left"/>
      <w:pPr>
        <w:ind w:left="1440" w:hanging="360"/>
      </w:pPr>
      <w:rPr>
        <w:rFonts w:ascii="Segoe UI" w:hAnsi="Segoe UI" w:hint="default"/>
        <w:b w:val="0"/>
        <w:i w:val="0"/>
        <w:color w:val="000000" w:themeColor="text1"/>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EC7996"/>
    <w:multiLevelType w:val="hybridMultilevel"/>
    <w:tmpl w:val="504E2CDE"/>
    <w:lvl w:ilvl="0" w:tplc="E1C27E0E">
      <w:numFmt w:val="bullet"/>
      <w:lvlText w:val="-"/>
      <w:lvlJc w:val="left"/>
      <w:pPr>
        <w:ind w:left="420" w:hanging="360"/>
      </w:pPr>
      <w:rPr>
        <w:rFonts w:ascii="Calibri" w:eastAsia="Calibri" w:hAnsi="Calibri" w:cs="Calibri" w:hint="default"/>
        <w:color w:val="1F497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3125D60"/>
    <w:multiLevelType w:val="hybridMultilevel"/>
    <w:tmpl w:val="FD08D988"/>
    <w:lvl w:ilvl="0" w:tplc="1CCAB318">
      <w:numFmt w:val="bullet"/>
      <w:lvlText w:val="■"/>
      <w:lvlJc w:val="left"/>
      <w:pPr>
        <w:ind w:left="720" w:hanging="360"/>
      </w:pPr>
      <w:rPr>
        <w:rFonts w:ascii="Arial" w:hAnsi="Arial" w:hint="default"/>
        <w:color w:val="808080"/>
        <w:sz w:val="16"/>
        <w:u w:color="009A80"/>
      </w:rPr>
    </w:lvl>
    <w:lvl w:ilvl="1" w:tplc="4C608014">
      <w:numFmt w:val="bullet"/>
      <w:lvlText w:val="‒"/>
      <w:lvlJc w:val="left"/>
      <w:pPr>
        <w:ind w:left="1440" w:hanging="360"/>
      </w:pPr>
      <w:rPr>
        <w:rFonts w:ascii="Segoe UI" w:hAnsi="Segoe UI" w:hint="default"/>
        <w:color w:val="A6A6A6" w:themeColor="background1" w:themeShade="A6"/>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21"/>
  </w:num>
  <w:num w:numId="19">
    <w:abstractNumId w:val="17"/>
  </w:num>
  <w:num w:numId="20">
    <w:abstractNumId w:val="13"/>
  </w:num>
  <w:num w:numId="21">
    <w:abstractNumId w:val="26"/>
  </w:num>
  <w:num w:numId="22">
    <w:abstractNumId w:val="16"/>
  </w:num>
  <w:num w:numId="23">
    <w:abstractNumId w:val="23"/>
  </w:num>
  <w:num w:numId="24">
    <w:abstractNumId w:val="18"/>
  </w:num>
  <w:num w:numId="25">
    <w:abstractNumId w:val="31"/>
  </w:num>
  <w:num w:numId="26">
    <w:abstractNumId w:val="25"/>
  </w:num>
  <w:num w:numId="27">
    <w:abstractNumId w:val="14"/>
  </w:num>
  <w:num w:numId="28">
    <w:abstractNumId w:val="15"/>
  </w:num>
  <w:num w:numId="29">
    <w:abstractNumId w:val="29"/>
  </w:num>
  <w:num w:numId="30">
    <w:abstractNumId w:val="12"/>
  </w:num>
  <w:num w:numId="31">
    <w:abstractNumId w:val="22"/>
  </w:num>
  <w:num w:numId="32">
    <w:abstractNumId w:val="1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C3"/>
    <w:rsid w:val="00000113"/>
    <w:rsid w:val="00000E77"/>
    <w:rsid w:val="00001BBA"/>
    <w:rsid w:val="00002FCD"/>
    <w:rsid w:val="00007B3E"/>
    <w:rsid w:val="00010104"/>
    <w:rsid w:val="00011535"/>
    <w:rsid w:val="000166BD"/>
    <w:rsid w:val="00023B5D"/>
    <w:rsid w:val="00023C05"/>
    <w:rsid w:val="00023E1A"/>
    <w:rsid w:val="0002463B"/>
    <w:rsid w:val="000272C0"/>
    <w:rsid w:val="00027DD3"/>
    <w:rsid w:val="00037563"/>
    <w:rsid w:val="00047F92"/>
    <w:rsid w:val="000561F3"/>
    <w:rsid w:val="00060D68"/>
    <w:rsid w:val="00063B46"/>
    <w:rsid w:val="00067FA1"/>
    <w:rsid w:val="00071DD3"/>
    <w:rsid w:val="00072702"/>
    <w:rsid w:val="00073C42"/>
    <w:rsid w:val="00074B0C"/>
    <w:rsid w:val="00080961"/>
    <w:rsid w:val="00084FE6"/>
    <w:rsid w:val="000917F0"/>
    <w:rsid w:val="00092218"/>
    <w:rsid w:val="0009348C"/>
    <w:rsid w:val="000946D9"/>
    <w:rsid w:val="000952C3"/>
    <w:rsid w:val="000A04EE"/>
    <w:rsid w:val="000A21A1"/>
    <w:rsid w:val="000A50E7"/>
    <w:rsid w:val="000B0B8E"/>
    <w:rsid w:val="000B2481"/>
    <w:rsid w:val="000B43DD"/>
    <w:rsid w:val="000C0518"/>
    <w:rsid w:val="000C0E98"/>
    <w:rsid w:val="000C1332"/>
    <w:rsid w:val="000C1953"/>
    <w:rsid w:val="000C3D3A"/>
    <w:rsid w:val="000C5341"/>
    <w:rsid w:val="000C5CEA"/>
    <w:rsid w:val="000E1525"/>
    <w:rsid w:val="000E4885"/>
    <w:rsid w:val="000E554E"/>
    <w:rsid w:val="000E69AF"/>
    <w:rsid w:val="000E6A1F"/>
    <w:rsid w:val="000E6CFC"/>
    <w:rsid w:val="000F3215"/>
    <w:rsid w:val="000F46ED"/>
    <w:rsid w:val="000F4D8D"/>
    <w:rsid w:val="000F5BFD"/>
    <w:rsid w:val="00105265"/>
    <w:rsid w:val="00105A95"/>
    <w:rsid w:val="001065D1"/>
    <w:rsid w:val="00106AE7"/>
    <w:rsid w:val="001102BF"/>
    <w:rsid w:val="001116F5"/>
    <w:rsid w:val="00112589"/>
    <w:rsid w:val="00112E52"/>
    <w:rsid w:val="00114552"/>
    <w:rsid w:val="00114798"/>
    <w:rsid w:val="00116FA0"/>
    <w:rsid w:val="00121556"/>
    <w:rsid w:val="00125B5E"/>
    <w:rsid w:val="0012776E"/>
    <w:rsid w:val="001412AD"/>
    <w:rsid w:val="00142B9B"/>
    <w:rsid w:val="00147150"/>
    <w:rsid w:val="00147593"/>
    <w:rsid w:val="00153A8E"/>
    <w:rsid w:val="00153F0F"/>
    <w:rsid w:val="00155AC0"/>
    <w:rsid w:val="00157540"/>
    <w:rsid w:val="00160E9A"/>
    <w:rsid w:val="00164330"/>
    <w:rsid w:val="00167C6E"/>
    <w:rsid w:val="00174D77"/>
    <w:rsid w:val="00180A8B"/>
    <w:rsid w:val="0018192C"/>
    <w:rsid w:val="001825A5"/>
    <w:rsid w:val="001846AC"/>
    <w:rsid w:val="001858EC"/>
    <w:rsid w:val="00187C4E"/>
    <w:rsid w:val="00193C52"/>
    <w:rsid w:val="001A19E9"/>
    <w:rsid w:val="001A621A"/>
    <w:rsid w:val="001B1DB2"/>
    <w:rsid w:val="001C7D32"/>
    <w:rsid w:val="001D04B9"/>
    <w:rsid w:val="001D065E"/>
    <w:rsid w:val="001D44EC"/>
    <w:rsid w:val="001D4CB1"/>
    <w:rsid w:val="001E34A3"/>
    <w:rsid w:val="001E39FF"/>
    <w:rsid w:val="001E466B"/>
    <w:rsid w:val="001E67A1"/>
    <w:rsid w:val="001F0C72"/>
    <w:rsid w:val="001F2CDA"/>
    <w:rsid w:val="00201945"/>
    <w:rsid w:val="002071F9"/>
    <w:rsid w:val="00207601"/>
    <w:rsid w:val="00210C56"/>
    <w:rsid w:val="0021290E"/>
    <w:rsid w:val="00213F92"/>
    <w:rsid w:val="00220569"/>
    <w:rsid w:val="00223911"/>
    <w:rsid w:val="002315C2"/>
    <w:rsid w:val="00231936"/>
    <w:rsid w:val="00231BB3"/>
    <w:rsid w:val="00237D61"/>
    <w:rsid w:val="0024158D"/>
    <w:rsid w:val="0024327F"/>
    <w:rsid w:val="002476C4"/>
    <w:rsid w:val="00250F24"/>
    <w:rsid w:val="002537BD"/>
    <w:rsid w:val="0025581D"/>
    <w:rsid w:val="002570E3"/>
    <w:rsid w:val="0025799B"/>
    <w:rsid w:val="00271FFD"/>
    <w:rsid w:val="0027314A"/>
    <w:rsid w:val="0027471B"/>
    <w:rsid w:val="0028244D"/>
    <w:rsid w:val="00287CF2"/>
    <w:rsid w:val="00290F7E"/>
    <w:rsid w:val="00291E55"/>
    <w:rsid w:val="0029507C"/>
    <w:rsid w:val="002A1717"/>
    <w:rsid w:val="002A4699"/>
    <w:rsid w:val="002B3E56"/>
    <w:rsid w:val="002B6EB4"/>
    <w:rsid w:val="002C6B00"/>
    <w:rsid w:val="002D1763"/>
    <w:rsid w:val="002D2F87"/>
    <w:rsid w:val="002E430E"/>
    <w:rsid w:val="002F466C"/>
    <w:rsid w:val="002F4A25"/>
    <w:rsid w:val="00301BBA"/>
    <w:rsid w:val="0031027F"/>
    <w:rsid w:val="00311BC8"/>
    <w:rsid w:val="0031781D"/>
    <w:rsid w:val="0032143B"/>
    <w:rsid w:val="00326232"/>
    <w:rsid w:val="0033239C"/>
    <w:rsid w:val="003325E1"/>
    <w:rsid w:val="00334256"/>
    <w:rsid w:val="00335527"/>
    <w:rsid w:val="00345F78"/>
    <w:rsid w:val="003464F2"/>
    <w:rsid w:val="00346743"/>
    <w:rsid w:val="00350048"/>
    <w:rsid w:val="003508D5"/>
    <w:rsid w:val="00350A2A"/>
    <w:rsid w:val="00352961"/>
    <w:rsid w:val="0035584F"/>
    <w:rsid w:val="0036222E"/>
    <w:rsid w:val="0037450F"/>
    <w:rsid w:val="00374E1B"/>
    <w:rsid w:val="00376950"/>
    <w:rsid w:val="00384BE2"/>
    <w:rsid w:val="00390A84"/>
    <w:rsid w:val="00390FDD"/>
    <w:rsid w:val="00391ED9"/>
    <w:rsid w:val="003920C0"/>
    <w:rsid w:val="00393047"/>
    <w:rsid w:val="003A1BD0"/>
    <w:rsid w:val="003A63C1"/>
    <w:rsid w:val="003A6ECA"/>
    <w:rsid w:val="003B1657"/>
    <w:rsid w:val="003B288C"/>
    <w:rsid w:val="003B634C"/>
    <w:rsid w:val="003C3B87"/>
    <w:rsid w:val="003D2299"/>
    <w:rsid w:val="003D467F"/>
    <w:rsid w:val="003D5102"/>
    <w:rsid w:val="003D72EB"/>
    <w:rsid w:val="003D7C25"/>
    <w:rsid w:val="003E2833"/>
    <w:rsid w:val="003E297D"/>
    <w:rsid w:val="003E7509"/>
    <w:rsid w:val="003F0D89"/>
    <w:rsid w:val="003F1280"/>
    <w:rsid w:val="003F4A9A"/>
    <w:rsid w:val="0040005E"/>
    <w:rsid w:val="00401E27"/>
    <w:rsid w:val="004033E0"/>
    <w:rsid w:val="0041709D"/>
    <w:rsid w:val="00420D1C"/>
    <w:rsid w:val="004241C3"/>
    <w:rsid w:val="004336E5"/>
    <w:rsid w:val="00434845"/>
    <w:rsid w:val="00437A93"/>
    <w:rsid w:val="00443F67"/>
    <w:rsid w:val="004469CA"/>
    <w:rsid w:val="00451D89"/>
    <w:rsid w:val="00452D22"/>
    <w:rsid w:val="004552AC"/>
    <w:rsid w:val="004607A3"/>
    <w:rsid w:val="004638B0"/>
    <w:rsid w:val="00464A52"/>
    <w:rsid w:val="00470BC8"/>
    <w:rsid w:val="00470E53"/>
    <w:rsid w:val="00472ECC"/>
    <w:rsid w:val="004764C8"/>
    <w:rsid w:val="0048182A"/>
    <w:rsid w:val="00482ADA"/>
    <w:rsid w:val="00485406"/>
    <w:rsid w:val="00490672"/>
    <w:rsid w:val="00490AF4"/>
    <w:rsid w:val="00493058"/>
    <w:rsid w:val="004A0930"/>
    <w:rsid w:val="004A46CB"/>
    <w:rsid w:val="004A5C03"/>
    <w:rsid w:val="004B0FDA"/>
    <w:rsid w:val="004B2CE5"/>
    <w:rsid w:val="004B31BC"/>
    <w:rsid w:val="004C0809"/>
    <w:rsid w:val="004C10AD"/>
    <w:rsid w:val="004C2AC7"/>
    <w:rsid w:val="004C41F1"/>
    <w:rsid w:val="004C737C"/>
    <w:rsid w:val="004C7B98"/>
    <w:rsid w:val="004D3F89"/>
    <w:rsid w:val="004E04B0"/>
    <w:rsid w:val="004E1898"/>
    <w:rsid w:val="004E2B92"/>
    <w:rsid w:val="004F19C2"/>
    <w:rsid w:val="004F4372"/>
    <w:rsid w:val="004F4DF8"/>
    <w:rsid w:val="00500C54"/>
    <w:rsid w:val="00504FA5"/>
    <w:rsid w:val="0051290C"/>
    <w:rsid w:val="0052097F"/>
    <w:rsid w:val="00525EDD"/>
    <w:rsid w:val="00536015"/>
    <w:rsid w:val="00542E28"/>
    <w:rsid w:val="00545436"/>
    <w:rsid w:val="00546E38"/>
    <w:rsid w:val="0055002B"/>
    <w:rsid w:val="00556FFE"/>
    <w:rsid w:val="005573AF"/>
    <w:rsid w:val="0056143C"/>
    <w:rsid w:val="00561C04"/>
    <w:rsid w:val="00561F36"/>
    <w:rsid w:val="00563DF3"/>
    <w:rsid w:val="0056718B"/>
    <w:rsid w:val="00567AB1"/>
    <w:rsid w:val="0057025B"/>
    <w:rsid w:val="005814BE"/>
    <w:rsid w:val="005827FA"/>
    <w:rsid w:val="00582A7C"/>
    <w:rsid w:val="00583B45"/>
    <w:rsid w:val="00592C72"/>
    <w:rsid w:val="005950F3"/>
    <w:rsid w:val="0059578D"/>
    <w:rsid w:val="005973A1"/>
    <w:rsid w:val="005A0418"/>
    <w:rsid w:val="005A075D"/>
    <w:rsid w:val="005A7106"/>
    <w:rsid w:val="005B053D"/>
    <w:rsid w:val="005B21F1"/>
    <w:rsid w:val="005B5A24"/>
    <w:rsid w:val="005C7144"/>
    <w:rsid w:val="005D4C67"/>
    <w:rsid w:val="005D4E18"/>
    <w:rsid w:val="005E1C4C"/>
    <w:rsid w:val="005E6598"/>
    <w:rsid w:val="005E7432"/>
    <w:rsid w:val="005E77D6"/>
    <w:rsid w:val="005F3C09"/>
    <w:rsid w:val="005F4855"/>
    <w:rsid w:val="0060198D"/>
    <w:rsid w:val="00607DAD"/>
    <w:rsid w:val="00610D68"/>
    <w:rsid w:val="00612101"/>
    <w:rsid w:val="00614D48"/>
    <w:rsid w:val="006200E7"/>
    <w:rsid w:val="00621EB6"/>
    <w:rsid w:val="00622D27"/>
    <w:rsid w:val="00624276"/>
    <w:rsid w:val="00627D9C"/>
    <w:rsid w:val="00633C90"/>
    <w:rsid w:val="006370F5"/>
    <w:rsid w:val="006378DD"/>
    <w:rsid w:val="00640E92"/>
    <w:rsid w:val="006437D5"/>
    <w:rsid w:val="0064715B"/>
    <w:rsid w:val="00656EE3"/>
    <w:rsid w:val="00661896"/>
    <w:rsid w:val="0066280F"/>
    <w:rsid w:val="00666DFE"/>
    <w:rsid w:val="00675656"/>
    <w:rsid w:val="006838E0"/>
    <w:rsid w:val="006840EF"/>
    <w:rsid w:val="006846E0"/>
    <w:rsid w:val="0068586C"/>
    <w:rsid w:val="006947FE"/>
    <w:rsid w:val="006A0A94"/>
    <w:rsid w:val="006A1474"/>
    <w:rsid w:val="006A25BC"/>
    <w:rsid w:val="006A7631"/>
    <w:rsid w:val="006B6666"/>
    <w:rsid w:val="006C1AFA"/>
    <w:rsid w:val="006C4751"/>
    <w:rsid w:val="006D1A17"/>
    <w:rsid w:val="006D548B"/>
    <w:rsid w:val="006D5A0E"/>
    <w:rsid w:val="006D6725"/>
    <w:rsid w:val="006E0BAB"/>
    <w:rsid w:val="006E3E76"/>
    <w:rsid w:val="006E5C08"/>
    <w:rsid w:val="006F1D04"/>
    <w:rsid w:val="006F4332"/>
    <w:rsid w:val="006F637B"/>
    <w:rsid w:val="006F6614"/>
    <w:rsid w:val="007079C8"/>
    <w:rsid w:val="00717B64"/>
    <w:rsid w:val="00720C72"/>
    <w:rsid w:val="00721BD6"/>
    <w:rsid w:val="00722AF6"/>
    <w:rsid w:val="007266D2"/>
    <w:rsid w:val="00733E72"/>
    <w:rsid w:val="0073575B"/>
    <w:rsid w:val="0073592F"/>
    <w:rsid w:val="00750EC2"/>
    <w:rsid w:val="00750FE8"/>
    <w:rsid w:val="007532BC"/>
    <w:rsid w:val="00761F5A"/>
    <w:rsid w:val="0076220B"/>
    <w:rsid w:val="00764E46"/>
    <w:rsid w:val="007701D3"/>
    <w:rsid w:val="00775A63"/>
    <w:rsid w:val="0077713C"/>
    <w:rsid w:val="007779FE"/>
    <w:rsid w:val="00784C3F"/>
    <w:rsid w:val="00785148"/>
    <w:rsid w:val="0078572A"/>
    <w:rsid w:val="00791066"/>
    <w:rsid w:val="00792F13"/>
    <w:rsid w:val="0079772B"/>
    <w:rsid w:val="007A0378"/>
    <w:rsid w:val="007A27E5"/>
    <w:rsid w:val="007A639F"/>
    <w:rsid w:val="007B704E"/>
    <w:rsid w:val="007C367F"/>
    <w:rsid w:val="007C58DC"/>
    <w:rsid w:val="007C7DFE"/>
    <w:rsid w:val="007D1EF9"/>
    <w:rsid w:val="007D473D"/>
    <w:rsid w:val="007D4B9A"/>
    <w:rsid w:val="007D6A3D"/>
    <w:rsid w:val="007E2E91"/>
    <w:rsid w:val="007E436E"/>
    <w:rsid w:val="007E4489"/>
    <w:rsid w:val="007E65DE"/>
    <w:rsid w:val="007F105C"/>
    <w:rsid w:val="007F5BDD"/>
    <w:rsid w:val="00803C5C"/>
    <w:rsid w:val="00807955"/>
    <w:rsid w:val="008117E2"/>
    <w:rsid w:val="00811A0B"/>
    <w:rsid w:val="00821582"/>
    <w:rsid w:val="00822867"/>
    <w:rsid w:val="0082471B"/>
    <w:rsid w:val="0082621A"/>
    <w:rsid w:val="00830E39"/>
    <w:rsid w:val="00837C32"/>
    <w:rsid w:val="00840C4B"/>
    <w:rsid w:val="00840CB9"/>
    <w:rsid w:val="00840DFD"/>
    <w:rsid w:val="0084315F"/>
    <w:rsid w:val="00845A9A"/>
    <w:rsid w:val="00845F72"/>
    <w:rsid w:val="0084697A"/>
    <w:rsid w:val="00846A29"/>
    <w:rsid w:val="00852D43"/>
    <w:rsid w:val="00876FAB"/>
    <w:rsid w:val="00880312"/>
    <w:rsid w:val="00881C51"/>
    <w:rsid w:val="00883CCD"/>
    <w:rsid w:val="00885565"/>
    <w:rsid w:val="00887501"/>
    <w:rsid w:val="008912E4"/>
    <w:rsid w:val="008934C2"/>
    <w:rsid w:val="00894B9D"/>
    <w:rsid w:val="008A1B51"/>
    <w:rsid w:val="008A2695"/>
    <w:rsid w:val="008B07E2"/>
    <w:rsid w:val="008B09C8"/>
    <w:rsid w:val="008B304C"/>
    <w:rsid w:val="008B4353"/>
    <w:rsid w:val="008B6FEE"/>
    <w:rsid w:val="008C47B6"/>
    <w:rsid w:val="008C4A1C"/>
    <w:rsid w:val="008C6083"/>
    <w:rsid w:val="008C63FF"/>
    <w:rsid w:val="008C6A13"/>
    <w:rsid w:val="008C7535"/>
    <w:rsid w:val="008D2985"/>
    <w:rsid w:val="008D2CB2"/>
    <w:rsid w:val="008D2F74"/>
    <w:rsid w:val="008D301C"/>
    <w:rsid w:val="008E039A"/>
    <w:rsid w:val="008E26D0"/>
    <w:rsid w:val="008E54CB"/>
    <w:rsid w:val="008E5F3A"/>
    <w:rsid w:val="008F52FA"/>
    <w:rsid w:val="008F5ABB"/>
    <w:rsid w:val="008F7194"/>
    <w:rsid w:val="008F7793"/>
    <w:rsid w:val="008F7C3B"/>
    <w:rsid w:val="009027E5"/>
    <w:rsid w:val="00904C4E"/>
    <w:rsid w:val="00905BA9"/>
    <w:rsid w:val="00906D31"/>
    <w:rsid w:val="009107B1"/>
    <w:rsid w:val="00915827"/>
    <w:rsid w:val="009159BD"/>
    <w:rsid w:val="009162DC"/>
    <w:rsid w:val="0092115C"/>
    <w:rsid w:val="009221D4"/>
    <w:rsid w:val="009251BF"/>
    <w:rsid w:val="00926D94"/>
    <w:rsid w:val="0092742D"/>
    <w:rsid w:val="009336C1"/>
    <w:rsid w:val="009337A1"/>
    <w:rsid w:val="0093649E"/>
    <w:rsid w:val="00937813"/>
    <w:rsid w:val="00943E63"/>
    <w:rsid w:val="009525E6"/>
    <w:rsid w:val="00953EC1"/>
    <w:rsid w:val="009547D8"/>
    <w:rsid w:val="00960FA2"/>
    <w:rsid w:val="009622AF"/>
    <w:rsid w:val="00963D74"/>
    <w:rsid w:val="00971308"/>
    <w:rsid w:val="00971FAA"/>
    <w:rsid w:val="009729EB"/>
    <w:rsid w:val="00976B0B"/>
    <w:rsid w:val="00980534"/>
    <w:rsid w:val="009851E9"/>
    <w:rsid w:val="00990184"/>
    <w:rsid w:val="00990588"/>
    <w:rsid w:val="00995E9F"/>
    <w:rsid w:val="00996494"/>
    <w:rsid w:val="00997089"/>
    <w:rsid w:val="009A2F29"/>
    <w:rsid w:val="009A68B7"/>
    <w:rsid w:val="009B0716"/>
    <w:rsid w:val="009B0828"/>
    <w:rsid w:val="009C20BC"/>
    <w:rsid w:val="009D0111"/>
    <w:rsid w:val="009D2E4A"/>
    <w:rsid w:val="009D4DF3"/>
    <w:rsid w:val="009D6AEA"/>
    <w:rsid w:val="009E5D20"/>
    <w:rsid w:val="009F6840"/>
    <w:rsid w:val="009F70C1"/>
    <w:rsid w:val="00A01FFC"/>
    <w:rsid w:val="00A02B78"/>
    <w:rsid w:val="00A06732"/>
    <w:rsid w:val="00A075DC"/>
    <w:rsid w:val="00A162A4"/>
    <w:rsid w:val="00A21B32"/>
    <w:rsid w:val="00A27A9E"/>
    <w:rsid w:val="00A3128A"/>
    <w:rsid w:val="00A3431E"/>
    <w:rsid w:val="00A36504"/>
    <w:rsid w:val="00A36E94"/>
    <w:rsid w:val="00A479A2"/>
    <w:rsid w:val="00A54A64"/>
    <w:rsid w:val="00A57E11"/>
    <w:rsid w:val="00A6172C"/>
    <w:rsid w:val="00A72190"/>
    <w:rsid w:val="00A82DD5"/>
    <w:rsid w:val="00A93408"/>
    <w:rsid w:val="00A95E03"/>
    <w:rsid w:val="00A96F99"/>
    <w:rsid w:val="00A9774F"/>
    <w:rsid w:val="00AA2236"/>
    <w:rsid w:val="00AA5067"/>
    <w:rsid w:val="00AA7EED"/>
    <w:rsid w:val="00AB0A8F"/>
    <w:rsid w:val="00AB1479"/>
    <w:rsid w:val="00AB46C9"/>
    <w:rsid w:val="00AB5FF3"/>
    <w:rsid w:val="00AC6BEF"/>
    <w:rsid w:val="00AD738E"/>
    <w:rsid w:val="00AE0C80"/>
    <w:rsid w:val="00AE424E"/>
    <w:rsid w:val="00AE456E"/>
    <w:rsid w:val="00AF5360"/>
    <w:rsid w:val="00AF555C"/>
    <w:rsid w:val="00B00141"/>
    <w:rsid w:val="00B049A2"/>
    <w:rsid w:val="00B04D97"/>
    <w:rsid w:val="00B060D7"/>
    <w:rsid w:val="00B0689A"/>
    <w:rsid w:val="00B0734A"/>
    <w:rsid w:val="00B10199"/>
    <w:rsid w:val="00B1478B"/>
    <w:rsid w:val="00B2348A"/>
    <w:rsid w:val="00B27097"/>
    <w:rsid w:val="00B34F04"/>
    <w:rsid w:val="00B41169"/>
    <w:rsid w:val="00B44139"/>
    <w:rsid w:val="00B44697"/>
    <w:rsid w:val="00B4560B"/>
    <w:rsid w:val="00B47B60"/>
    <w:rsid w:val="00B51C24"/>
    <w:rsid w:val="00B5282C"/>
    <w:rsid w:val="00B53289"/>
    <w:rsid w:val="00B54315"/>
    <w:rsid w:val="00B54B59"/>
    <w:rsid w:val="00B55761"/>
    <w:rsid w:val="00B62969"/>
    <w:rsid w:val="00B64516"/>
    <w:rsid w:val="00B64AD5"/>
    <w:rsid w:val="00B65210"/>
    <w:rsid w:val="00B66C54"/>
    <w:rsid w:val="00B71C68"/>
    <w:rsid w:val="00B732F2"/>
    <w:rsid w:val="00B747B1"/>
    <w:rsid w:val="00B7558F"/>
    <w:rsid w:val="00B76D35"/>
    <w:rsid w:val="00B80C47"/>
    <w:rsid w:val="00B83BE5"/>
    <w:rsid w:val="00B85622"/>
    <w:rsid w:val="00B87597"/>
    <w:rsid w:val="00B92DA1"/>
    <w:rsid w:val="00B936F4"/>
    <w:rsid w:val="00B96282"/>
    <w:rsid w:val="00B9789B"/>
    <w:rsid w:val="00BA1A5D"/>
    <w:rsid w:val="00BA2D58"/>
    <w:rsid w:val="00BB0207"/>
    <w:rsid w:val="00BB0D6F"/>
    <w:rsid w:val="00BB7272"/>
    <w:rsid w:val="00BC12F1"/>
    <w:rsid w:val="00BC30B4"/>
    <w:rsid w:val="00BD0C81"/>
    <w:rsid w:val="00BD0F6A"/>
    <w:rsid w:val="00BD23AB"/>
    <w:rsid w:val="00BD4DFE"/>
    <w:rsid w:val="00BD5378"/>
    <w:rsid w:val="00BE2381"/>
    <w:rsid w:val="00BF089A"/>
    <w:rsid w:val="00BF6E5A"/>
    <w:rsid w:val="00C00711"/>
    <w:rsid w:val="00C01B8E"/>
    <w:rsid w:val="00C03BA3"/>
    <w:rsid w:val="00C177A1"/>
    <w:rsid w:val="00C23CBC"/>
    <w:rsid w:val="00C3146E"/>
    <w:rsid w:val="00C34FB5"/>
    <w:rsid w:val="00C43406"/>
    <w:rsid w:val="00C45534"/>
    <w:rsid w:val="00C467BB"/>
    <w:rsid w:val="00C60323"/>
    <w:rsid w:val="00C60714"/>
    <w:rsid w:val="00C611EF"/>
    <w:rsid w:val="00C62D1D"/>
    <w:rsid w:val="00C6603C"/>
    <w:rsid w:val="00C6614B"/>
    <w:rsid w:val="00C7086B"/>
    <w:rsid w:val="00C711C5"/>
    <w:rsid w:val="00C80F5A"/>
    <w:rsid w:val="00C83A90"/>
    <w:rsid w:val="00C860C0"/>
    <w:rsid w:val="00C9599D"/>
    <w:rsid w:val="00C96D0C"/>
    <w:rsid w:val="00CA0670"/>
    <w:rsid w:val="00CA1B69"/>
    <w:rsid w:val="00CA27C1"/>
    <w:rsid w:val="00CA337B"/>
    <w:rsid w:val="00CA3570"/>
    <w:rsid w:val="00CA6AA9"/>
    <w:rsid w:val="00CA73EC"/>
    <w:rsid w:val="00CB28DC"/>
    <w:rsid w:val="00CB78B3"/>
    <w:rsid w:val="00CC22D1"/>
    <w:rsid w:val="00CC3952"/>
    <w:rsid w:val="00CC6888"/>
    <w:rsid w:val="00CD1B12"/>
    <w:rsid w:val="00CD6ADB"/>
    <w:rsid w:val="00CE0C81"/>
    <w:rsid w:val="00CE2F7F"/>
    <w:rsid w:val="00CE7B4E"/>
    <w:rsid w:val="00CF0DF6"/>
    <w:rsid w:val="00CF0E78"/>
    <w:rsid w:val="00CF2237"/>
    <w:rsid w:val="00CF3FED"/>
    <w:rsid w:val="00CF4835"/>
    <w:rsid w:val="00CF79D5"/>
    <w:rsid w:val="00D016DF"/>
    <w:rsid w:val="00D0267E"/>
    <w:rsid w:val="00D05C45"/>
    <w:rsid w:val="00D066BE"/>
    <w:rsid w:val="00D13618"/>
    <w:rsid w:val="00D152DF"/>
    <w:rsid w:val="00D1794C"/>
    <w:rsid w:val="00D17C9F"/>
    <w:rsid w:val="00D23CD2"/>
    <w:rsid w:val="00D24449"/>
    <w:rsid w:val="00D34369"/>
    <w:rsid w:val="00D34E65"/>
    <w:rsid w:val="00D34FA4"/>
    <w:rsid w:val="00D37471"/>
    <w:rsid w:val="00D37D00"/>
    <w:rsid w:val="00D42DC3"/>
    <w:rsid w:val="00D458CB"/>
    <w:rsid w:val="00D55905"/>
    <w:rsid w:val="00D57B7E"/>
    <w:rsid w:val="00D6366F"/>
    <w:rsid w:val="00D65BE7"/>
    <w:rsid w:val="00D72452"/>
    <w:rsid w:val="00D75AA6"/>
    <w:rsid w:val="00D75DA3"/>
    <w:rsid w:val="00D82D36"/>
    <w:rsid w:val="00D85844"/>
    <w:rsid w:val="00D90766"/>
    <w:rsid w:val="00D928F1"/>
    <w:rsid w:val="00D93054"/>
    <w:rsid w:val="00D93395"/>
    <w:rsid w:val="00D94AD1"/>
    <w:rsid w:val="00DA54BE"/>
    <w:rsid w:val="00DA657D"/>
    <w:rsid w:val="00DA6CB9"/>
    <w:rsid w:val="00DA765A"/>
    <w:rsid w:val="00DB274B"/>
    <w:rsid w:val="00DC25AF"/>
    <w:rsid w:val="00DD046D"/>
    <w:rsid w:val="00DD1F05"/>
    <w:rsid w:val="00DD3496"/>
    <w:rsid w:val="00DE00CD"/>
    <w:rsid w:val="00DE0B58"/>
    <w:rsid w:val="00DE1538"/>
    <w:rsid w:val="00DF060F"/>
    <w:rsid w:val="00DF682F"/>
    <w:rsid w:val="00DF6CEB"/>
    <w:rsid w:val="00E05838"/>
    <w:rsid w:val="00E100CD"/>
    <w:rsid w:val="00E15E16"/>
    <w:rsid w:val="00E23907"/>
    <w:rsid w:val="00E30C49"/>
    <w:rsid w:val="00E31BF3"/>
    <w:rsid w:val="00E35BCC"/>
    <w:rsid w:val="00E3718C"/>
    <w:rsid w:val="00E401EF"/>
    <w:rsid w:val="00E40F8E"/>
    <w:rsid w:val="00E556A3"/>
    <w:rsid w:val="00E56D13"/>
    <w:rsid w:val="00E63C93"/>
    <w:rsid w:val="00E644F6"/>
    <w:rsid w:val="00E65DB0"/>
    <w:rsid w:val="00E66369"/>
    <w:rsid w:val="00E74909"/>
    <w:rsid w:val="00E75033"/>
    <w:rsid w:val="00E77009"/>
    <w:rsid w:val="00E841E0"/>
    <w:rsid w:val="00E8710C"/>
    <w:rsid w:val="00E87AAA"/>
    <w:rsid w:val="00E92086"/>
    <w:rsid w:val="00E9311B"/>
    <w:rsid w:val="00E96175"/>
    <w:rsid w:val="00EA0131"/>
    <w:rsid w:val="00EA2E6E"/>
    <w:rsid w:val="00EA5C67"/>
    <w:rsid w:val="00EB258D"/>
    <w:rsid w:val="00EB3EEF"/>
    <w:rsid w:val="00EB3FAC"/>
    <w:rsid w:val="00EB4062"/>
    <w:rsid w:val="00EB5326"/>
    <w:rsid w:val="00EC178B"/>
    <w:rsid w:val="00EC6135"/>
    <w:rsid w:val="00ED47BF"/>
    <w:rsid w:val="00ED4911"/>
    <w:rsid w:val="00EE0320"/>
    <w:rsid w:val="00EE54DA"/>
    <w:rsid w:val="00EE621B"/>
    <w:rsid w:val="00EE7EFB"/>
    <w:rsid w:val="00EF47C3"/>
    <w:rsid w:val="00F04CFF"/>
    <w:rsid w:val="00F05037"/>
    <w:rsid w:val="00F079F7"/>
    <w:rsid w:val="00F1378D"/>
    <w:rsid w:val="00F20157"/>
    <w:rsid w:val="00F230EA"/>
    <w:rsid w:val="00F30399"/>
    <w:rsid w:val="00F32E6C"/>
    <w:rsid w:val="00F33E0B"/>
    <w:rsid w:val="00F35121"/>
    <w:rsid w:val="00F35C12"/>
    <w:rsid w:val="00F37186"/>
    <w:rsid w:val="00F37970"/>
    <w:rsid w:val="00F46A04"/>
    <w:rsid w:val="00F47176"/>
    <w:rsid w:val="00F51FDF"/>
    <w:rsid w:val="00F5250B"/>
    <w:rsid w:val="00F55A8F"/>
    <w:rsid w:val="00F55E32"/>
    <w:rsid w:val="00F570EC"/>
    <w:rsid w:val="00F6144E"/>
    <w:rsid w:val="00F63F8C"/>
    <w:rsid w:val="00F70414"/>
    <w:rsid w:val="00F75C9F"/>
    <w:rsid w:val="00F869E0"/>
    <w:rsid w:val="00F8755F"/>
    <w:rsid w:val="00F905EC"/>
    <w:rsid w:val="00F95A7C"/>
    <w:rsid w:val="00F95E51"/>
    <w:rsid w:val="00F969F2"/>
    <w:rsid w:val="00FA2CB9"/>
    <w:rsid w:val="00FA2FFC"/>
    <w:rsid w:val="00FB1FD5"/>
    <w:rsid w:val="00FB7BC5"/>
    <w:rsid w:val="00FC2AA3"/>
    <w:rsid w:val="00FC32D4"/>
    <w:rsid w:val="00FC69CA"/>
    <w:rsid w:val="00FD12F5"/>
    <w:rsid w:val="00FD221F"/>
    <w:rsid w:val="00FD3CDE"/>
    <w:rsid w:val="00FD77F5"/>
    <w:rsid w:val="00FE67F7"/>
    <w:rsid w:val="00FF269C"/>
    <w:rsid w:val="00FF4FD5"/>
    <w:rsid w:val="00FF6F82"/>
    <w:rsid w:val="00FF7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85EEA4"/>
  <w15:docId w15:val="{D707A685-6D10-4AA8-B26A-765C1503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EastAsia" w:hAnsi="Segoe UI" w:cstheme="minorBidi"/>
        <w:color w:val="000000" w:themeColor="text1"/>
        <w:sz w:val="22"/>
        <w:szCs w:val="22"/>
        <w:lang w:val="en-US" w:eastAsia="en-US" w:bidi="ar-SA"/>
      </w:rPr>
    </w:rPrDefault>
    <w:pPrDefault>
      <w:pPr>
        <w:spacing w:after="240" w:line="264"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D24449"/>
  </w:style>
  <w:style w:type="paragraph" w:styleId="Nagwek1">
    <w:name w:val="heading 1"/>
    <w:basedOn w:val="Normalny"/>
    <w:next w:val="Normalny"/>
    <w:link w:val="Nagwek1Znak"/>
    <w:qFormat/>
    <w:rsid w:val="005973A1"/>
    <w:pPr>
      <w:keepNext/>
      <w:spacing w:after="0" w:line="240" w:lineRule="auto"/>
      <w:jc w:val="right"/>
      <w:outlineLvl w:val="0"/>
    </w:pPr>
    <w:rPr>
      <w:rFonts w:ascii="Arial" w:hAnsi="Arial" w:cs="Times New Roman"/>
      <w:b/>
      <w:bCs/>
      <w:caps/>
      <w:color w:val="000000"/>
      <w:sz w:val="20"/>
      <w:szCs w:val="24"/>
      <w:lang w:val="cs-CZ"/>
    </w:rPr>
  </w:style>
  <w:style w:type="paragraph" w:styleId="Nagwek2">
    <w:name w:val="heading 2"/>
    <w:basedOn w:val="Normalny"/>
    <w:next w:val="Normalny"/>
    <w:link w:val="Nagwek2Znak"/>
    <w:uiPriority w:val="9"/>
    <w:semiHidden/>
    <w:unhideWhenUsed/>
    <w:rsid w:val="009622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622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E39FF"/>
    <w:rPr>
      <w:sz w:val="16"/>
      <w:szCs w:val="16"/>
    </w:rPr>
  </w:style>
  <w:style w:type="paragraph" w:styleId="Tekstkomentarza">
    <w:name w:val="annotation text"/>
    <w:basedOn w:val="Normalny"/>
    <w:link w:val="TekstkomentarzaZnak"/>
    <w:uiPriority w:val="99"/>
    <w:semiHidden/>
    <w:unhideWhenUsed/>
    <w:rsid w:val="001E39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39FF"/>
    <w:rPr>
      <w:sz w:val="20"/>
      <w:szCs w:val="20"/>
    </w:rPr>
  </w:style>
  <w:style w:type="paragraph" w:styleId="Tematkomentarza">
    <w:name w:val="annotation subject"/>
    <w:basedOn w:val="Tekstkomentarza"/>
    <w:next w:val="Tekstkomentarza"/>
    <w:link w:val="TematkomentarzaZnak"/>
    <w:uiPriority w:val="99"/>
    <w:semiHidden/>
    <w:unhideWhenUsed/>
    <w:rsid w:val="001E39FF"/>
    <w:rPr>
      <w:b/>
      <w:bCs/>
    </w:rPr>
  </w:style>
  <w:style w:type="character" w:customStyle="1" w:styleId="TematkomentarzaZnak">
    <w:name w:val="Temat komentarza Znak"/>
    <w:basedOn w:val="TekstkomentarzaZnak"/>
    <w:link w:val="Tematkomentarza"/>
    <w:uiPriority w:val="99"/>
    <w:semiHidden/>
    <w:rsid w:val="001E39FF"/>
    <w:rPr>
      <w:b/>
      <w:bCs/>
      <w:sz w:val="20"/>
      <w:szCs w:val="20"/>
    </w:rPr>
  </w:style>
  <w:style w:type="paragraph" w:styleId="Tekstdymka">
    <w:name w:val="Balloon Text"/>
    <w:basedOn w:val="Normalny"/>
    <w:link w:val="TekstdymkaZnak"/>
    <w:uiPriority w:val="99"/>
    <w:semiHidden/>
    <w:unhideWhenUsed/>
    <w:rsid w:val="001E39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39FF"/>
    <w:rPr>
      <w:rFonts w:ascii="Tahoma" w:hAnsi="Tahoma" w:cs="Tahoma"/>
      <w:sz w:val="16"/>
      <w:szCs w:val="16"/>
    </w:rPr>
  </w:style>
  <w:style w:type="character" w:customStyle="1" w:styleId="Nagwek1Znak">
    <w:name w:val="Nagłówek 1 Znak"/>
    <w:basedOn w:val="Domylnaczcionkaakapitu"/>
    <w:link w:val="Nagwek1"/>
    <w:rsid w:val="005973A1"/>
    <w:rPr>
      <w:rFonts w:ascii="Arial" w:hAnsi="Arial" w:cs="Times New Roman"/>
      <w:b/>
      <w:bCs/>
      <w:caps/>
      <w:color w:val="000000"/>
      <w:sz w:val="20"/>
      <w:szCs w:val="24"/>
      <w:lang w:val="cs-CZ"/>
    </w:rPr>
  </w:style>
  <w:style w:type="paragraph" w:styleId="Zwykytekst">
    <w:name w:val="Plain Text"/>
    <w:basedOn w:val="Normalny"/>
    <w:link w:val="ZwykytekstZnak"/>
    <w:uiPriority w:val="99"/>
    <w:semiHidden/>
    <w:unhideWhenUsed/>
    <w:rsid w:val="00750EC2"/>
    <w:pPr>
      <w:spacing w:after="0" w:line="240" w:lineRule="auto"/>
    </w:pPr>
    <w:rPr>
      <w:rFonts w:ascii="Consolas" w:eastAsiaTheme="minorHAnsi" w:hAnsi="Consolas"/>
      <w:sz w:val="21"/>
      <w:szCs w:val="21"/>
    </w:rPr>
  </w:style>
  <w:style w:type="character" w:customStyle="1" w:styleId="ZwykytekstZnak">
    <w:name w:val="Zwykły tekst Znak"/>
    <w:basedOn w:val="Domylnaczcionkaakapitu"/>
    <w:link w:val="Zwykytekst"/>
    <w:uiPriority w:val="99"/>
    <w:semiHidden/>
    <w:rsid w:val="00750EC2"/>
    <w:rPr>
      <w:rFonts w:ascii="Consolas" w:eastAsiaTheme="minorHAnsi" w:hAnsi="Consolas"/>
      <w:sz w:val="21"/>
      <w:szCs w:val="21"/>
    </w:rPr>
  </w:style>
  <w:style w:type="paragraph" w:styleId="Tekstprzypisudolnego">
    <w:name w:val="footnote text"/>
    <w:basedOn w:val="Normalny"/>
    <w:link w:val="TekstprzypisudolnegoZnak"/>
    <w:uiPriority w:val="99"/>
    <w:semiHidden/>
    <w:unhideWhenUsed/>
    <w:rsid w:val="00F37186"/>
    <w:pPr>
      <w:spacing w:after="0" w:line="240" w:lineRule="auto"/>
    </w:pPr>
    <w:rPr>
      <w:rFonts w:asciiTheme="majorHAnsi" w:eastAsiaTheme="minorHAnsi" w:hAnsiTheme="majorHAnsi"/>
      <w:sz w:val="20"/>
      <w:szCs w:val="20"/>
      <w:lang w:val="en-CA"/>
    </w:rPr>
  </w:style>
  <w:style w:type="character" w:customStyle="1" w:styleId="TekstprzypisudolnegoZnak">
    <w:name w:val="Tekst przypisu dolnego Znak"/>
    <w:basedOn w:val="Domylnaczcionkaakapitu"/>
    <w:link w:val="Tekstprzypisudolnego"/>
    <w:uiPriority w:val="99"/>
    <w:semiHidden/>
    <w:rsid w:val="00F37186"/>
    <w:rPr>
      <w:rFonts w:asciiTheme="majorHAnsi" w:eastAsiaTheme="minorHAnsi" w:hAnsiTheme="majorHAnsi"/>
      <w:sz w:val="20"/>
      <w:szCs w:val="20"/>
      <w:lang w:val="en-CA"/>
    </w:rPr>
  </w:style>
  <w:style w:type="character" w:styleId="Odwoanieprzypisudolnego">
    <w:name w:val="footnote reference"/>
    <w:basedOn w:val="Domylnaczcionkaakapitu"/>
    <w:uiPriority w:val="99"/>
    <w:semiHidden/>
    <w:unhideWhenUsed/>
    <w:rsid w:val="00F37186"/>
    <w:rPr>
      <w:vertAlign w:val="superscript"/>
    </w:rPr>
  </w:style>
  <w:style w:type="table" w:styleId="Siatkatabeli">
    <w:name w:val="Table Grid"/>
    <w:basedOn w:val="Standardowy"/>
    <w:uiPriority w:val="59"/>
    <w:rsid w:val="00F1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D4E18"/>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5D4E18"/>
  </w:style>
  <w:style w:type="paragraph" w:styleId="Stopka">
    <w:name w:val="footer"/>
    <w:basedOn w:val="Normalny"/>
    <w:link w:val="StopkaZnak"/>
    <w:uiPriority w:val="99"/>
    <w:unhideWhenUsed/>
    <w:rsid w:val="005D4E18"/>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5D4E18"/>
  </w:style>
  <w:style w:type="paragraph" w:styleId="NormalnyWeb">
    <w:name w:val="Normal (Web)"/>
    <w:basedOn w:val="Normalny"/>
    <w:uiPriority w:val="99"/>
    <w:unhideWhenUsed/>
    <w:rsid w:val="00D24449"/>
    <w:pPr>
      <w:spacing w:before="100" w:beforeAutospacing="1" w:after="100" w:afterAutospacing="1" w:line="200" w:lineRule="atLeast"/>
    </w:pPr>
    <w:rPr>
      <w:rFonts w:ascii="Times New Roman" w:eastAsia="Times New Roman" w:hAnsi="Times New Roman" w:cs="Times New Roman"/>
      <w:color w:val="auto"/>
      <w:sz w:val="14"/>
      <w:szCs w:val="14"/>
    </w:rPr>
  </w:style>
  <w:style w:type="character" w:styleId="Hipercze">
    <w:name w:val="Hyperlink"/>
    <w:basedOn w:val="Domylnaczcionkaakapitu"/>
    <w:uiPriority w:val="99"/>
    <w:unhideWhenUsed/>
    <w:rsid w:val="006D6725"/>
    <w:rPr>
      <w:color w:val="0000FF" w:themeColor="hyperlink"/>
      <w:u w:val="single"/>
    </w:rPr>
  </w:style>
  <w:style w:type="paragraph" w:styleId="Akapitzlist">
    <w:name w:val="List Paragraph"/>
    <w:basedOn w:val="Normalny"/>
    <w:uiPriority w:val="34"/>
    <w:qFormat/>
    <w:rsid w:val="00B1478B"/>
    <w:pPr>
      <w:ind w:left="720"/>
      <w:contextualSpacing/>
    </w:pPr>
  </w:style>
  <w:style w:type="character" w:customStyle="1" w:styleId="apple-converted-space">
    <w:name w:val="apple-converted-space"/>
    <w:basedOn w:val="Domylnaczcionkaakapitu"/>
    <w:rsid w:val="00CA73EC"/>
  </w:style>
  <w:style w:type="character" w:customStyle="1" w:styleId="Nagwek2Znak">
    <w:name w:val="Nagłówek 2 Znak"/>
    <w:basedOn w:val="Domylnaczcionkaakapitu"/>
    <w:link w:val="Nagwek2"/>
    <w:uiPriority w:val="9"/>
    <w:semiHidden/>
    <w:rsid w:val="009622AF"/>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622AF"/>
    <w:rPr>
      <w:rFonts w:asciiTheme="majorHAnsi" w:eastAsiaTheme="majorEastAsia" w:hAnsiTheme="majorHAnsi" w:cstheme="majorBidi"/>
      <w:color w:val="243F60" w:themeColor="accent1" w:themeShade="7F"/>
      <w:sz w:val="24"/>
      <w:szCs w:val="24"/>
    </w:rPr>
  </w:style>
  <w:style w:type="paragraph" w:styleId="Bezodstpw">
    <w:name w:val="No Spacing"/>
    <w:uiPriority w:val="1"/>
    <w:qFormat/>
    <w:rsid w:val="0084697A"/>
    <w:pPr>
      <w:spacing w:after="0" w:line="240" w:lineRule="auto"/>
    </w:pPr>
    <w:rPr>
      <w:rFonts w:ascii="Calibri" w:eastAsia="Times New Roman" w:hAnsi="Calibri" w:cs="Times New Roman"/>
      <w:color w:val="auto"/>
    </w:rPr>
  </w:style>
  <w:style w:type="paragraph" w:styleId="Tekstpodstawowy">
    <w:name w:val="Body Text"/>
    <w:basedOn w:val="Normalny"/>
    <w:link w:val="TekstpodstawowyZnak"/>
    <w:rsid w:val="00C00711"/>
    <w:pPr>
      <w:suppressAutoHyphens/>
      <w:spacing w:line="100" w:lineRule="atLeast"/>
    </w:pPr>
    <w:rPr>
      <w:rFonts w:ascii="Arial" w:eastAsia="Times New Roman" w:hAnsi="Arial" w:cs="Times New Roman"/>
      <w:color w:val="00000A"/>
      <w:kern w:val="1"/>
      <w:sz w:val="19"/>
      <w:szCs w:val="24"/>
      <w:lang w:eastAsia="ar-SA"/>
    </w:rPr>
  </w:style>
  <w:style w:type="character" w:customStyle="1" w:styleId="TekstpodstawowyZnak">
    <w:name w:val="Tekst podstawowy Znak"/>
    <w:basedOn w:val="Domylnaczcionkaakapitu"/>
    <w:link w:val="Tekstpodstawowy"/>
    <w:rsid w:val="00C00711"/>
    <w:rPr>
      <w:rFonts w:ascii="Arial" w:eastAsia="Times New Roman" w:hAnsi="Arial" w:cs="Times New Roman"/>
      <w:color w:val="00000A"/>
      <w:kern w:val="1"/>
      <w:sz w:val="19"/>
      <w:szCs w:val="24"/>
      <w:lang w:eastAsia="ar-SA"/>
    </w:rPr>
  </w:style>
  <w:style w:type="paragraph" w:customStyle="1" w:styleId="Bezodstpw1">
    <w:name w:val="Bez odstępów1"/>
    <w:rsid w:val="00C00711"/>
    <w:pPr>
      <w:suppressAutoHyphens/>
      <w:spacing w:after="0" w:line="100" w:lineRule="atLeast"/>
    </w:pPr>
    <w:rPr>
      <w:rFonts w:ascii="Calibri" w:eastAsia="Times New Roman" w:hAnsi="Calibri" w:cs="Times New Roman"/>
      <w:color w:val="00000A"/>
      <w:kern w:val="1"/>
      <w:lang w:eastAsia="ar-SA"/>
    </w:rPr>
  </w:style>
  <w:style w:type="paragraph" w:customStyle="1" w:styleId="Zawartotabeli">
    <w:name w:val="Zawartość tabeli"/>
    <w:basedOn w:val="Normalny"/>
    <w:rsid w:val="009162DC"/>
    <w:pPr>
      <w:widowControl w:val="0"/>
      <w:suppressLineNumbers/>
      <w:suppressAutoHyphens/>
      <w:spacing w:after="0" w:line="240" w:lineRule="auto"/>
    </w:pPr>
    <w:rPr>
      <w:rFonts w:ascii="Times New Roman" w:eastAsia="SimSun" w:hAnsi="Times New Roman" w:cs="Mangal"/>
      <w:color w:val="auto"/>
      <w:kern w:val="1"/>
      <w:sz w:val="24"/>
      <w:szCs w:val="24"/>
      <w:lang w:val="pl-PL"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85053">
      <w:bodyDiv w:val="1"/>
      <w:marLeft w:val="0"/>
      <w:marRight w:val="0"/>
      <w:marTop w:val="0"/>
      <w:marBottom w:val="0"/>
      <w:divBdr>
        <w:top w:val="none" w:sz="0" w:space="0" w:color="auto"/>
        <w:left w:val="none" w:sz="0" w:space="0" w:color="auto"/>
        <w:bottom w:val="none" w:sz="0" w:space="0" w:color="auto"/>
        <w:right w:val="none" w:sz="0" w:space="0" w:color="auto"/>
      </w:divBdr>
      <w:divsChild>
        <w:div w:id="939142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165875">
              <w:marLeft w:val="0"/>
              <w:marRight w:val="0"/>
              <w:marTop w:val="0"/>
              <w:marBottom w:val="0"/>
              <w:divBdr>
                <w:top w:val="none" w:sz="0" w:space="0" w:color="auto"/>
                <w:left w:val="none" w:sz="0" w:space="0" w:color="auto"/>
                <w:bottom w:val="none" w:sz="0" w:space="0" w:color="auto"/>
                <w:right w:val="none" w:sz="0" w:space="0" w:color="auto"/>
              </w:divBdr>
              <w:divsChild>
                <w:div w:id="12344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80327">
      <w:bodyDiv w:val="1"/>
      <w:marLeft w:val="0"/>
      <w:marRight w:val="0"/>
      <w:marTop w:val="250"/>
      <w:marBottom w:val="250"/>
      <w:divBdr>
        <w:top w:val="none" w:sz="0" w:space="0" w:color="auto"/>
        <w:left w:val="none" w:sz="0" w:space="0" w:color="auto"/>
        <w:bottom w:val="none" w:sz="0" w:space="0" w:color="auto"/>
        <w:right w:val="none" w:sz="0" w:space="0" w:color="auto"/>
      </w:divBdr>
      <w:divsChild>
        <w:div w:id="728572841">
          <w:marLeft w:val="0"/>
          <w:marRight w:val="0"/>
          <w:marTop w:val="0"/>
          <w:marBottom w:val="0"/>
          <w:divBdr>
            <w:top w:val="none" w:sz="0" w:space="0" w:color="auto"/>
            <w:left w:val="none" w:sz="0" w:space="0" w:color="auto"/>
            <w:bottom w:val="none" w:sz="0" w:space="0" w:color="auto"/>
            <w:right w:val="none" w:sz="0" w:space="0" w:color="auto"/>
          </w:divBdr>
          <w:divsChild>
            <w:div w:id="1343817092">
              <w:marLeft w:val="0"/>
              <w:marRight w:val="0"/>
              <w:marTop w:val="0"/>
              <w:marBottom w:val="0"/>
              <w:divBdr>
                <w:top w:val="none" w:sz="0" w:space="0" w:color="auto"/>
                <w:left w:val="none" w:sz="0" w:space="0" w:color="auto"/>
                <w:bottom w:val="none" w:sz="0" w:space="0" w:color="auto"/>
                <w:right w:val="none" w:sz="0" w:space="0" w:color="auto"/>
              </w:divBdr>
              <w:divsChild>
                <w:div w:id="1633294079">
                  <w:marLeft w:val="125"/>
                  <w:marRight w:val="250"/>
                  <w:marTop w:val="0"/>
                  <w:marBottom w:val="0"/>
                  <w:divBdr>
                    <w:top w:val="none" w:sz="0" w:space="0" w:color="auto"/>
                    <w:left w:val="none" w:sz="0" w:space="0" w:color="auto"/>
                    <w:bottom w:val="none" w:sz="0" w:space="0" w:color="auto"/>
                    <w:right w:val="none" w:sz="0" w:space="0" w:color="auto"/>
                  </w:divBdr>
                  <w:divsChild>
                    <w:div w:id="7249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813335">
      <w:bodyDiv w:val="1"/>
      <w:marLeft w:val="0"/>
      <w:marRight w:val="0"/>
      <w:marTop w:val="187"/>
      <w:marBottom w:val="187"/>
      <w:divBdr>
        <w:top w:val="none" w:sz="0" w:space="0" w:color="auto"/>
        <w:left w:val="none" w:sz="0" w:space="0" w:color="auto"/>
        <w:bottom w:val="none" w:sz="0" w:space="0" w:color="auto"/>
        <w:right w:val="none" w:sz="0" w:space="0" w:color="auto"/>
      </w:divBdr>
      <w:divsChild>
        <w:div w:id="1668555555">
          <w:marLeft w:val="0"/>
          <w:marRight w:val="0"/>
          <w:marTop w:val="0"/>
          <w:marBottom w:val="0"/>
          <w:divBdr>
            <w:top w:val="none" w:sz="0" w:space="0" w:color="auto"/>
            <w:left w:val="none" w:sz="0" w:space="0" w:color="auto"/>
            <w:bottom w:val="none" w:sz="0" w:space="0" w:color="auto"/>
            <w:right w:val="none" w:sz="0" w:space="0" w:color="auto"/>
          </w:divBdr>
          <w:divsChild>
            <w:div w:id="80373943">
              <w:marLeft w:val="0"/>
              <w:marRight w:val="0"/>
              <w:marTop w:val="0"/>
              <w:marBottom w:val="0"/>
              <w:divBdr>
                <w:top w:val="none" w:sz="0" w:space="0" w:color="auto"/>
                <w:left w:val="none" w:sz="0" w:space="0" w:color="auto"/>
                <w:bottom w:val="none" w:sz="0" w:space="0" w:color="auto"/>
                <w:right w:val="none" w:sz="0" w:space="0" w:color="auto"/>
              </w:divBdr>
              <w:divsChild>
                <w:div w:id="264657870">
                  <w:marLeft w:val="94"/>
                  <w:marRight w:val="187"/>
                  <w:marTop w:val="0"/>
                  <w:marBottom w:val="0"/>
                  <w:divBdr>
                    <w:top w:val="none" w:sz="0" w:space="0" w:color="auto"/>
                    <w:left w:val="none" w:sz="0" w:space="0" w:color="auto"/>
                    <w:bottom w:val="none" w:sz="0" w:space="0" w:color="auto"/>
                    <w:right w:val="none" w:sz="0" w:space="0" w:color="auto"/>
                  </w:divBdr>
                  <w:divsChild>
                    <w:div w:id="14396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02364">
      <w:bodyDiv w:val="1"/>
      <w:marLeft w:val="0"/>
      <w:marRight w:val="0"/>
      <w:marTop w:val="0"/>
      <w:marBottom w:val="0"/>
      <w:divBdr>
        <w:top w:val="none" w:sz="0" w:space="0" w:color="auto"/>
        <w:left w:val="none" w:sz="0" w:space="0" w:color="auto"/>
        <w:bottom w:val="none" w:sz="0" w:space="0" w:color="auto"/>
        <w:right w:val="none" w:sz="0" w:space="0" w:color="auto"/>
      </w:divBdr>
    </w:div>
    <w:div w:id="446581566">
      <w:bodyDiv w:val="1"/>
      <w:marLeft w:val="0"/>
      <w:marRight w:val="5"/>
      <w:marTop w:val="0"/>
      <w:marBottom w:val="461"/>
      <w:divBdr>
        <w:top w:val="none" w:sz="0" w:space="0" w:color="auto"/>
        <w:left w:val="none" w:sz="0" w:space="0" w:color="auto"/>
        <w:bottom w:val="none" w:sz="0" w:space="0" w:color="auto"/>
        <w:right w:val="none" w:sz="0" w:space="0" w:color="auto"/>
      </w:divBdr>
      <w:divsChild>
        <w:div w:id="626473034">
          <w:marLeft w:val="0"/>
          <w:marRight w:val="0"/>
          <w:marTop w:val="0"/>
          <w:marBottom w:val="0"/>
          <w:divBdr>
            <w:top w:val="none" w:sz="0" w:space="0" w:color="auto"/>
            <w:left w:val="none" w:sz="0" w:space="0" w:color="auto"/>
            <w:bottom w:val="none" w:sz="0" w:space="0" w:color="auto"/>
            <w:right w:val="none" w:sz="0" w:space="0" w:color="auto"/>
          </w:divBdr>
          <w:divsChild>
            <w:div w:id="1059864294">
              <w:marLeft w:val="1740"/>
              <w:marRight w:val="0"/>
              <w:marTop w:val="346"/>
              <w:marBottom w:val="230"/>
              <w:divBdr>
                <w:top w:val="none" w:sz="0" w:space="0" w:color="auto"/>
                <w:left w:val="none" w:sz="0" w:space="0" w:color="auto"/>
                <w:bottom w:val="none" w:sz="0" w:space="0" w:color="auto"/>
                <w:right w:val="none" w:sz="0" w:space="0" w:color="auto"/>
              </w:divBdr>
            </w:div>
          </w:divsChild>
        </w:div>
      </w:divsChild>
    </w:div>
    <w:div w:id="587154216">
      <w:bodyDiv w:val="1"/>
      <w:marLeft w:val="0"/>
      <w:marRight w:val="0"/>
      <w:marTop w:val="0"/>
      <w:marBottom w:val="0"/>
      <w:divBdr>
        <w:top w:val="none" w:sz="0" w:space="0" w:color="auto"/>
        <w:left w:val="none" w:sz="0" w:space="0" w:color="auto"/>
        <w:bottom w:val="none" w:sz="0" w:space="0" w:color="auto"/>
        <w:right w:val="none" w:sz="0" w:space="0" w:color="auto"/>
      </w:divBdr>
    </w:div>
    <w:div w:id="665523090">
      <w:bodyDiv w:val="1"/>
      <w:marLeft w:val="0"/>
      <w:marRight w:val="0"/>
      <w:marTop w:val="230"/>
      <w:marBottom w:val="230"/>
      <w:divBdr>
        <w:top w:val="none" w:sz="0" w:space="0" w:color="auto"/>
        <w:left w:val="none" w:sz="0" w:space="0" w:color="auto"/>
        <w:bottom w:val="none" w:sz="0" w:space="0" w:color="auto"/>
        <w:right w:val="none" w:sz="0" w:space="0" w:color="auto"/>
      </w:divBdr>
      <w:divsChild>
        <w:div w:id="1396318431">
          <w:marLeft w:val="0"/>
          <w:marRight w:val="0"/>
          <w:marTop w:val="0"/>
          <w:marBottom w:val="0"/>
          <w:divBdr>
            <w:top w:val="none" w:sz="0" w:space="0" w:color="auto"/>
            <w:left w:val="none" w:sz="0" w:space="0" w:color="auto"/>
            <w:bottom w:val="none" w:sz="0" w:space="0" w:color="auto"/>
            <w:right w:val="none" w:sz="0" w:space="0" w:color="auto"/>
          </w:divBdr>
          <w:divsChild>
            <w:div w:id="836966450">
              <w:marLeft w:val="0"/>
              <w:marRight w:val="0"/>
              <w:marTop w:val="0"/>
              <w:marBottom w:val="0"/>
              <w:divBdr>
                <w:top w:val="none" w:sz="0" w:space="0" w:color="auto"/>
                <w:left w:val="none" w:sz="0" w:space="0" w:color="auto"/>
                <w:bottom w:val="none" w:sz="0" w:space="0" w:color="auto"/>
                <w:right w:val="none" w:sz="0" w:space="0" w:color="auto"/>
              </w:divBdr>
              <w:divsChild>
                <w:div w:id="254442986">
                  <w:marLeft w:val="115"/>
                  <w:marRight w:val="230"/>
                  <w:marTop w:val="0"/>
                  <w:marBottom w:val="0"/>
                  <w:divBdr>
                    <w:top w:val="none" w:sz="0" w:space="0" w:color="auto"/>
                    <w:left w:val="none" w:sz="0" w:space="0" w:color="auto"/>
                    <w:bottom w:val="none" w:sz="0" w:space="0" w:color="auto"/>
                    <w:right w:val="none" w:sz="0" w:space="0" w:color="auto"/>
                  </w:divBdr>
                  <w:divsChild>
                    <w:div w:id="19952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01050">
      <w:bodyDiv w:val="1"/>
      <w:marLeft w:val="0"/>
      <w:marRight w:val="0"/>
      <w:marTop w:val="0"/>
      <w:marBottom w:val="0"/>
      <w:divBdr>
        <w:top w:val="none" w:sz="0" w:space="0" w:color="auto"/>
        <w:left w:val="none" w:sz="0" w:space="0" w:color="auto"/>
        <w:bottom w:val="none" w:sz="0" w:space="0" w:color="auto"/>
        <w:right w:val="none" w:sz="0" w:space="0" w:color="auto"/>
      </w:divBdr>
    </w:div>
    <w:div w:id="926377493">
      <w:bodyDiv w:val="1"/>
      <w:marLeft w:val="0"/>
      <w:marRight w:val="0"/>
      <w:marTop w:val="250"/>
      <w:marBottom w:val="250"/>
      <w:divBdr>
        <w:top w:val="none" w:sz="0" w:space="0" w:color="auto"/>
        <w:left w:val="none" w:sz="0" w:space="0" w:color="auto"/>
        <w:bottom w:val="none" w:sz="0" w:space="0" w:color="auto"/>
        <w:right w:val="none" w:sz="0" w:space="0" w:color="auto"/>
      </w:divBdr>
      <w:divsChild>
        <w:div w:id="566913513">
          <w:marLeft w:val="0"/>
          <w:marRight w:val="0"/>
          <w:marTop w:val="0"/>
          <w:marBottom w:val="0"/>
          <w:divBdr>
            <w:top w:val="none" w:sz="0" w:space="0" w:color="auto"/>
            <w:left w:val="none" w:sz="0" w:space="0" w:color="auto"/>
            <w:bottom w:val="none" w:sz="0" w:space="0" w:color="auto"/>
            <w:right w:val="none" w:sz="0" w:space="0" w:color="auto"/>
          </w:divBdr>
          <w:divsChild>
            <w:div w:id="1628006962">
              <w:marLeft w:val="0"/>
              <w:marRight w:val="0"/>
              <w:marTop w:val="0"/>
              <w:marBottom w:val="0"/>
              <w:divBdr>
                <w:top w:val="none" w:sz="0" w:space="0" w:color="auto"/>
                <w:left w:val="none" w:sz="0" w:space="0" w:color="auto"/>
                <w:bottom w:val="none" w:sz="0" w:space="0" w:color="auto"/>
                <w:right w:val="none" w:sz="0" w:space="0" w:color="auto"/>
              </w:divBdr>
              <w:divsChild>
                <w:div w:id="1731345475">
                  <w:marLeft w:val="125"/>
                  <w:marRight w:val="250"/>
                  <w:marTop w:val="0"/>
                  <w:marBottom w:val="0"/>
                  <w:divBdr>
                    <w:top w:val="none" w:sz="0" w:space="0" w:color="auto"/>
                    <w:left w:val="none" w:sz="0" w:space="0" w:color="auto"/>
                    <w:bottom w:val="none" w:sz="0" w:space="0" w:color="auto"/>
                    <w:right w:val="none" w:sz="0" w:space="0" w:color="auto"/>
                  </w:divBdr>
                  <w:divsChild>
                    <w:div w:id="18021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429065">
      <w:bodyDiv w:val="1"/>
      <w:marLeft w:val="0"/>
      <w:marRight w:val="0"/>
      <w:marTop w:val="0"/>
      <w:marBottom w:val="0"/>
      <w:divBdr>
        <w:top w:val="none" w:sz="0" w:space="0" w:color="auto"/>
        <w:left w:val="none" w:sz="0" w:space="0" w:color="auto"/>
        <w:bottom w:val="none" w:sz="0" w:space="0" w:color="auto"/>
        <w:right w:val="none" w:sz="0" w:space="0" w:color="auto"/>
      </w:divBdr>
    </w:div>
    <w:div w:id="1171142959">
      <w:bodyDiv w:val="1"/>
      <w:marLeft w:val="0"/>
      <w:marRight w:val="0"/>
      <w:marTop w:val="0"/>
      <w:marBottom w:val="0"/>
      <w:divBdr>
        <w:top w:val="none" w:sz="0" w:space="0" w:color="auto"/>
        <w:left w:val="none" w:sz="0" w:space="0" w:color="auto"/>
        <w:bottom w:val="none" w:sz="0" w:space="0" w:color="auto"/>
        <w:right w:val="none" w:sz="0" w:space="0" w:color="auto"/>
      </w:divBdr>
    </w:div>
    <w:div w:id="1213008020">
      <w:bodyDiv w:val="1"/>
      <w:marLeft w:val="0"/>
      <w:marRight w:val="0"/>
      <w:marTop w:val="0"/>
      <w:marBottom w:val="0"/>
      <w:divBdr>
        <w:top w:val="none" w:sz="0" w:space="0" w:color="auto"/>
        <w:left w:val="none" w:sz="0" w:space="0" w:color="auto"/>
        <w:bottom w:val="none" w:sz="0" w:space="0" w:color="auto"/>
        <w:right w:val="none" w:sz="0" w:space="0" w:color="auto"/>
      </w:divBdr>
      <w:divsChild>
        <w:div w:id="104263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139916">
              <w:marLeft w:val="0"/>
              <w:marRight w:val="0"/>
              <w:marTop w:val="0"/>
              <w:marBottom w:val="0"/>
              <w:divBdr>
                <w:top w:val="none" w:sz="0" w:space="0" w:color="auto"/>
                <w:left w:val="none" w:sz="0" w:space="0" w:color="auto"/>
                <w:bottom w:val="none" w:sz="0" w:space="0" w:color="auto"/>
                <w:right w:val="none" w:sz="0" w:space="0" w:color="auto"/>
              </w:divBdr>
              <w:divsChild>
                <w:div w:id="18795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49782">
      <w:bodyDiv w:val="1"/>
      <w:marLeft w:val="0"/>
      <w:marRight w:val="0"/>
      <w:marTop w:val="0"/>
      <w:marBottom w:val="0"/>
      <w:divBdr>
        <w:top w:val="none" w:sz="0" w:space="0" w:color="auto"/>
        <w:left w:val="none" w:sz="0" w:space="0" w:color="auto"/>
        <w:bottom w:val="none" w:sz="0" w:space="0" w:color="auto"/>
        <w:right w:val="none" w:sz="0" w:space="0" w:color="auto"/>
      </w:divBdr>
    </w:div>
    <w:div w:id="1433361564">
      <w:bodyDiv w:val="1"/>
      <w:marLeft w:val="0"/>
      <w:marRight w:val="0"/>
      <w:marTop w:val="0"/>
      <w:marBottom w:val="0"/>
      <w:divBdr>
        <w:top w:val="none" w:sz="0" w:space="0" w:color="auto"/>
        <w:left w:val="none" w:sz="0" w:space="0" w:color="auto"/>
        <w:bottom w:val="none" w:sz="0" w:space="0" w:color="auto"/>
        <w:right w:val="none" w:sz="0" w:space="0" w:color="auto"/>
      </w:divBdr>
    </w:div>
    <w:div w:id="1490704778">
      <w:bodyDiv w:val="1"/>
      <w:marLeft w:val="0"/>
      <w:marRight w:val="0"/>
      <w:marTop w:val="0"/>
      <w:marBottom w:val="0"/>
      <w:divBdr>
        <w:top w:val="none" w:sz="0" w:space="0" w:color="auto"/>
        <w:left w:val="none" w:sz="0" w:space="0" w:color="auto"/>
        <w:bottom w:val="none" w:sz="0" w:space="0" w:color="auto"/>
        <w:right w:val="none" w:sz="0" w:space="0" w:color="auto"/>
      </w:divBdr>
    </w:div>
    <w:div w:id="1504319485">
      <w:bodyDiv w:val="1"/>
      <w:marLeft w:val="0"/>
      <w:marRight w:val="0"/>
      <w:marTop w:val="0"/>
      <w:marBottom w:val="0"/>
      <w:divBdr>
        <w:top w:val="none" w:sz="0" w:space="0" w:color="auto"/>
        <w:left w:val="none" w:sz="0" w:space="0" w:color="auto"/>
        <w:bottom w:val="none" w:sz="0" w:space="0" w:color="auto"/>
        <w:right w:val="none" w:sz="0" w:space="0" w:color="auto"/>
      </w:divBdr>
    </w:div>
    <w:div w:id="1559826277">
      <w:bodyDiv w:val="1"/>
      <w:marLeft w:val="0"/>
      <w:marRight w:val="0"/>
      <w:marTop w:val="0"/>
      <w:marBottom w:val="0"/>
      <w:divBdr>
        <w:top w:val="none" w:sz="0" w:space="0" w:color="auto"/>
        <w:left w:val="none" w:sz="0" w:space="0" w:color="auto"/>
        <w:bottom w:val="none" w:sz="0" w:space="0" w:color="auto"/>
        <w:right w:val="none" w:sz="0" w:space="0" w:color="auto"/>
      </w:divBdr>
    </w:div>
    <w:div w:id="1577592422">
      <w:bodyDiv w:val="1"/>
      <w:marLeft w:val="0"/>
      <w:marRight w:val="0"/>
      <w:marTop w:val="0"/>
      <w:marBottom w:val="0"/>
      <w:divBdr>
        <w:top w:val="none" w:sz="0" w:space="0" w:color="auto"/>
        <w:left w:val="none" w:sz="0" w:space="0" w:color="auto"/>
        <w:bottom w:val="none" w:sz="0" w:space="0" w:color="auto"/>
        <w:right w:val="none" w:sz="0" w:space="0" w:color="auto"/>
      </w:divBdr>
    </w:div>
    <w:div w:id="1613200690">
      <w:bodyDiv w:val="1"/>
      <w:marLeft w:val="0"/>
      <w:marRight w:val="0"/>
      <w:marTop w:val="250"/>
      <w:marBottom w:val="250"/>
      <w:divBdr>
        <w:top w:val="none" w:sz="0" w:space="0" w:color="auto"/>
        <w:left w:val="none" w:sz="0" w:space="0" w:color="auto"/>
        <w:bottom w:val="none" w:sz="0" w:space="0" w:color="auto"/>
        <w:right w:val="none" w:sz="0" w:space="0" w:color="auto"/>
      </w:divBdr>
      <w:divsChild>
        <w:div w:id="396250533">
          <w:marLeft w:val="0"/>
          <w:marRight w:val="0"/>
          <w:marTop w:val="0"/>
          <w:marBottom w:val="0"/>
          <w:divBdr>
            <w:top w:val="none" w:sz="0" w:space="0" w:color="auto"/>
            <w:left w:val="none" w:sz="0" w:space="0" w:color="auto"/>
            <w:bottom w:val="none" w:sz="0" w:space="0" w:color="auto"/>
            <w:right w:val="none" w:sz="0" w:space="0" w:color="auto"/>
          </w:divBdr>
          <w:divsChild>
            <w:div w:id="229049461">
              <w:marLeft w:val="0"/>
              <w:marRight w:val="0"/>
              <w:marTop w:val="0"/>
              <w:marBottom w:val="0"/>
              <w:divBdr>
                <w:top w:val="none" w:sz="0" w:space="0" w:color="auto"/>
                <w:left w:val="none" w:sz="0" w:space="0" w:color="auto"/>
                <w:bottom w:val="none" w:sz="0" w:space="0" w:color="auto"/>
                <w:right w:val="none" w:sz="0" w:space="0" w:color="auto"/>
              </w:divBdr>
              <w:divsChild>
                <w:div w:id="108283699">
                  <w:marLeft w:val="125"/>
                  <w:marRight w:val="250"/>
                  <w:marTop w:val="0"/>
                  <w:marBottom w:val="0"/>
                  <w:divBdr>
                    <w:top w:val="none" w:sz="0" w:space="0" w:color="auto"/>
                    <w:left w:val="none" w:sz="0" w:space="0" w:color="auto"/>
                    <w:bottom w:val="none" w:sz="0" w:space="0" w:color="auto"/>
                    <w:right w:val="none" w:sz="0" w:space="0" w:color="auto"/>
                  </w:divBdr>
                  <w:divsChild>
                    <w:div w:id="2575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740427">
      <w:bodyDiv w:val="1"/>
      <w:marLeft w:val="0"/>
      <w:marRight w:val="0"/>
      <w:marTop w:val="250"/>
      <w:marBottom w:val="250"/>
      <w:divBdr>
        <w:top w:val="none" w:sz="0" w:space="0" w:color="auto"/>
        <w:left w:val="none" w:sz="0" w:space="0" w:color="auto"/>
        <w:bottom w:val="none" w:sz="0" w:space="0" w:color="auto"/>
        <w:right w:val="none" w:sz="0" w:space="0" w:color="auto"/>
      </w:divBdr>
      <w:divsChild>
        <w:div w:id="286545168">
          <w:marLeft w:val="0"/>
          <w:marRight w:val="0"/>
          <w:marTop w:val="0"/>
          <w:marBottom w:val="0"/>
          <w:divBdr>
            <w:top w:val="none" w:sz="0" w:space="0" w:color="auto"/>
            <w:left w:val="none" w:sz="0" w:space="0" w:color="auto"/>
            <w:bottom w:val="none" w:sz="0" w:space="0" w:color="auto"/>
            <w:right w:val="none" w:sz="0" w:space="0" w:color="auto"/>
          </w:divBdr>
          <w:divsChild>
            <w:div w:id="1513228302">
              <w:marLeft w:val="0"/>
              <w:marRight w:val="0"/>
              <w:marTop w:val="0"/>
              <w:marBottom w:val="0"/>
              <w:divBdr>
                <w:top w:val="none" w:sz="0" w:space="0" w:color="auto"/>
                <w:left w:val="none" w:sz="0" w:space="0" w:color="auto"/>
                <w:bottom w:val="none" w:sz="0" w:space="0" w:color="auto"/>
                <w:right w:val="none" w:sz="0" w:space="0" w:color="auto"/>
              </w:divBdr>
              <w:divsChild>
                <w:div w:id="1074543619">
                  <w:marLeft w:val="125"/>
                  <w:marRight w:val="250"/>
                  <w:marTop w:val="0"/>
                  <w:marBottom w:val="0"/>
                  <w:divBdr>
                    <w:top w:val="none" w:sz="0" w:space="0" w:color="auto"/>
                    <w:left w:val="none" w:sz="0" w:space="0" w:color="auto"/>
                    <w:bottom w:val="none" w:sz="0" w:space="0" w:color="auto"/>
                    <w:right w:val="none" w:sz="0" w:space="0" w:color="auto"/>
                  </w:divBdr>
                  <w:divsChild>
                    <w:div w:id="1797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2988">
      <w:bodyDiv w:val="1"/>
      <w:marLeft w:val="0"/>
      <w:marRight w:val="0"/>
      <w:marTop w:val="0"/>
      <w:marBottom w:val="0"/>
      <w:divBdr>
        <w:top w:val="none" w:sz="0" w:space="0" w:color="auto"/>
        <w:left w:val="none" w:sz="0" w:space="0" w:color="auto"/>
        <w:bottom w:val="none" w:sz="0" w:space="0" w:color="auto"/>
        <w:right w:val="none" w:sz="0" w:space="0" w:color="auto"/>
      </w:divBdr>
    </w:div>
    <w:div w:id="170918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F48BD-E05F-4F67-8D50-D699075F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2240</Words>
  <Characters>13446</Characters>
  <Application>Microsoft Office Word</Application>
  <DocSecurity>4</DocSecurity>
  <Lines>112</Lines>
  <Paragraphs>31</Paragraphs>
  <ScaleCrop>false</ScaleCrop>
  <HeadingPairs>
    <vt:vector size="6" baseType="variant">
      <vt:variant>
        <vt:lpstr>Tytuł</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Prologis</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dc:creator>
  <cp:lastModifiedBy>ConTrust Communication</cp:lastModifiedBy>
  <cp:revision>2</cp:revision>
  <cp:lastPrinted>2017-04-10T23:02:00Z</cp:lastPrinted>
  <dcterms:created xsi:type="dcterms:W3CDTF">2017-10-09T11:25:00Z</dcterms:created>
  <dcterms:modified xsi:type="dcterms:W3CDTF">2017-10-09T11:25:00Z</dcterms:modified>
</cp:coreProperties>
</file>