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AE27D" w14:textId="77777777" w:rsidR="005D4E18" w:rsidRPr="00B1478B" w:rsidRDefault="006370F5" w:rsidP="008B6FEE">
      <w:pPr>
        <w:spacing w:after="600" w:line="240" w:lineRule="auto"/>
        <w:rPr>
          <w:rFonts w:ascii="Segoe UI Semibold" w:hAnsi="Segoe UI Semibold" w:cs="Segoe UI"/>
          <w:sz w:val="21"/>
          <w:szCs w:val="21"/>
        </w:rPr>
      </w:pPr>
      <w:r>
        <w:rPr>
          <w:rFonts w:ascii="Segoe UI Semibold" w:hAnsi="Segoe UI Semibold" w:cs="Segoe UI"/>
          <w:sz w:val="21"/>
          <w:szCs w:val="21"/>
        </w:rPr>
        <w:t>MEDIA ALERT</w:t>
      </w:r>
    </w:p>
    <w:p w14:paraId="048F8299" w14:textId="77777777" w:rsidR="006370F5" w:rsidRPr="006370F5" w:rsidRDefault="006370F5" w:rsidP="006370F5">
      <w:pPr>
        <w:spacing w:after="160" w:line="240" w:lineRule="auto"/>
        <w:rPr>
          <w:rFonts w:ascii="Segoe UI Semibold" w:hAnsi="Segoe UI Semibold" w:cs="Segoe UI"/>
          <w:sz w:val="38"/>
          <w:szCs w:val="38"/>
        </w:rPr>
      </w:pPr>
      <w:r w:rsidRPr="006370F5">
        <w:rPr>
          <w:rFonts w:ascii="Segoe UI Semibold" w:hAnsi="Segoe UI Semibold" w:cs="Segoe UI"/>
          <w:sz w:val="38"/>
          <w:szCs w:val="38"/>
        </w:rPr>
        <w:t>Prologis Leases Speculative Development in Slovakia</w:t>
      </w:r>
    </w:p>
    <w:p w14:paraId="1091C901" w14:textId="6DB6FAE4" w:rsidR="00DE00CD" w:rsidRDefault="006370F5" w:rsidP="006370F5">
      <w:pPr>
        <w:spacing w:after="160" w:line="240" w:lineRule="auto"/>
        <w:rPr>
          <w:rFonts w:ascii="Segoe UI Semibold" w:hAnsi="Segoe UI Semibold" w:cs="Segoe UI"/>
          <w:sz w:val="38"/>
          <w:szCs w:val="38"/>
        </w:rPr>
      </w:pPr>
      <w:r w:rsidRPr="006370F5">
        <w:rPr>
          <w:rFonts w:ascii="Segoe UI Semibold" w:hAnsi="Segoe UI Semibold" w:cs="Segoe UI"/>
          <w:sz w:val="38"/>
          <w:szCs w:val="38"/>
        </w:rPr>
        <w:t xml:space="preserve">Just </w:t>
      </w:r>
      <w:r w:rsidR="00837C32">
        <w:rPr>
          <w:rFonts w:ascii="Segoe UI Semibold" w:hAnsi="Segoe UI Semibold" w:cs="Segoe UI"/>
          <w:sz w:val="38"/>
          <w:szCs w:val="38"/>
        </w:rPr>
        <w:t>Eight</w:t>
      </w:r>
      <w:r w:rsidRPr="006370F5">
        <w:rPr>
          <w:rFonts w:ascii="Segoe UI Semibold" w:hAnsi="Segoe UI Semibold" w:cs="Segoe UI"/>
          <w:sz w:val="38"/>
          <w:szCs w:val="38"/>
        </w:rPr>
        <w:t xml:space="preserve"> Weeks </w:t>
      </w:r>
      <w:r w:rsidR="00837C32">
        <w:rPr>
          <w:rFonts w:ascii="Segoe UI Semibold" w:hAnsi="Segoe UI Semibold" w:cs="Segoe UI"/>
          <w:sz w:val="38"/>
          <w:szCs w:val="38"/>
        </w:rPr>
        <w:t>After</w:t>
      </w:r>
      <w:r w:rsidR="00837C32" w:rsidRPr="006370F5">
        <w:rPr>
          <w:rFonts w:ascii="Segoe UI Semibold" w:hAnsi="Segoe UI Semibold" w:cs="Segoe UI"/>
          <w:sz w:val="38"/>
          <w:szCs w:val="38"/>
        </w:rPr>
        <w:t xml:space="preserve"> </w:t>
      </w:r>
      <w:r w:rsidRPr="006370F5">
        <w:rPr>
          <w:rFonts w:ascii="Segoe UI Semibold" w:hAnsi="Segoe UI Semibold" w:cs="Segoe UI"/>
          <w:sz w:val="38"/>
          <w:szCs w:val="38"/>
        </w:rPr>
        <w:t>Facility Completion</w:t>
      </w:r>
    </w:p>
    <w:p w14:paraId="43D8DF4A" w14:textId="1FC3DE89" w:rsidR="006370F5" w:rsidRPr="006370F5" w:rsidRDefault="006370F5" w:rsidP="006370F5">
      <w:pPr>
        <w:spacing w:after="160" w:line="240" w:lineRule="auto"/>
        <w:rPr>
          <w:rFonts w:cs="Segoe UI"/>
          <w:b/>
          <w:bCs/>
          <w:sz w:val="20"/>
          <w:szCs w:val="20"/>
        </w:rPr>
      </w:pPr>
      <w:r w:rsidRPr="006370F5">
        <w:rPr>
          <w:rFonts w:cs="Segoe UI"/>
          <w:b/>
          <w:bCs/>
          <w:sz w:val="20"/>
          <w:szCs w:val="20"/>
        </w:rPr>
        <w:t>Prologis Park Bratislava expanding rapidly to meet strong customer demand</w:t>
      </w:r>
    </w:p>
    <w:p w14:paraId="71FAEF00" w14:textId="07821684" w:rsidR="005D4E18" w:rsidRPr="00B1478B" w:rsidRDefault="005501D4" w:rsidP="005D4E18">
      <w:pPr>
        <w:spacing w:after="480"/>
        <w:rPr>
          <w:rFonts w:cs="Segoe UI"/>
          <w:sz w:val="19"/>
          <w:szCs w:val="19"/>
        </w:rPr>
      </w:pPr>
      <w:r>
        <w:rPr>
          <w:rFonts w:cs="Segoe UI"/>
          <w:sz w:val="19"/>
          <w:szCs w:val="19"/>
        </w:rPr>
        <w:t>Bratislava</w:t>
      </w:r>
      <w:r w:rsidRPr="00B1478B">
        <w:rPr>
          <w:rFonts w:cs="Segoe UI"/>
          <w:sz w:val="19"/>
          <w:szCs w:val="19"/>
        </w:rPr>
        <w:t xml:space="preserve"> </w:t>
      </w:r>
      <w:r w:rsidR="005D4E18" w:rsidRPr="00B1478B">
        <w:rPr>
          <w:rFonts w:cs="Segoe UI"/>
          <w:sz w:val="19"/>
          <w:szCs w:val="19"/>
        </w:rPr>
        <w:t>(</w:t>
      </w:r>
      <w:r w:rsidR="006370F5">
        <w:rPr>
          <w:rFonts w:cs="Segoe UI"/>
          <w:sz w:val="19"/>
          <w:szCs w:val="19"/>
        </w:rPr>
        <w:t>31 May</w:t>
      </w:r>
      <w:r w:rsidR="005D4E18" w:rsidRPr="00B1478B">
        <w:rPr>
          <w:rFonts w:cs="Segoe UI"/>
          <w:sz w:val="19"/>
          <w:szCs w:val="19"/>
        </w:rPr>
        <w:t xml:space="preserve"> 2017) </w:t>
      </w:r>
    </w:p>
    <w:p w14:paraId="42AFBA07" w14:textId="77777777" w:rsidR="00837C32" w:rsidRDefault="006370F5" w:rsidP="006370F5">
      <w:pPr>
        <w:contextualSpacing/>
        <w:rPr>
          <w:rFonts w:cs="Segoe UI"/>
          <w:bCs/>
          <w:sz w:val="20"/>
          <w:szCs w:val="20"/>
        </w:rPr>
      </w:pPr>
      <w:bookmarkStart w:id="0" w:name="_Hlk479612662"/>
      <w:r w:rsidRPr="006370F5">
        <w:rPr>
          <w:rFonts w:cs="Segoe UI"/>
          <w:bCs/>
          <w:sz w:val="20"/>
          <w:szCs w:val="20"/>
        </w:rPr>
        <w:t>Prologis, Inc., the global leader in logistics real estate, today announced that it has fully leased a newly delivered 21,140 square metre speculative facility at Prologis Park Bratislava to a furniture wholesaler</w:t>
      </w:r>
      <w:r w:rsidR="00837C32">
        <w:rPr>
          <w:rFonts w:cs="Segoe UI"/>
          <w:bCs/>
          <w:sz w:val="20"/>
          <w:szCs w:val="20"/>
        </w:rPr>
        <w:t>.</w:t>
      </w:r>
    </w:p>
    <w:p w14:paraId="6A806F17" w14:textId="77777777" w:rsidR="00837C32" w:rsidRDefault="00837C32" w:rsidP="006370F5">
      <w:pPr>
        <w:contextualSpacing/>
        <w:rPr>
          <w:rFonts w:cs="Segoe UI"/>
          <w:bCs/>
          <w:sz w:val="20"/>
          <w:szCs w:val="20"/>
        </w:rPr>
      </w:pPr>
    </w:p>
    <w:p w14:paraId="5C32A94F" w14:textId="1C7AB67E" w:rsidR="006370F5" w:rsidRPr="006370F5" w:rsidRDefault="00837C32" w:rsidP="006370F5">
      <w:pPr>
        <w:contextualSpacing/>
        <w:rPr>
          <w:rFonts w:cs="Segoe UI"/>
          <w:bCs/>
          <w:sz w:val="20"/>
          <w:szCs w:val="20"/>
        </w:rPr>
      </w:pPr>
      <w:r>
        <w:rPr>
          <w:rFonts w:cs="Segoe UI"/>
          <w:bCs/>
          <w:sz w:val="20"/>
          <w:szCs w:val="20"/>
        </w:rPr>
        <w:t>The lease was signed</w:t>
      </w:r>
      <w:r w:rsidR="006370F5" w:rsidRPr="006370F5">
        <w:rPr>
          <w:rFonts w:cs="Segoe UI"/>
          <w:bCs/>
          <w:sz w:val="20"/>
          <w:szCs w:val="20"/>
        </w:rPr>
        <w:t xml:space="preserve"> just two months after </w:t>
      </w:r>
      <w:r>
        <w:rPr>
          <w:rFonts w:cs="Segoe UI"/>
          <w:bCs/>
          <w:sz w:val="20"/>
          <w:szCs w:val="20"/>
        </w:rPr>
        <w:t xml:space="preserve">the building’s </w:t>
      </w:r>
      <w:r w:rsidR="006370F5" w:rsidRPr="006370F5">
        <w:rPr>
          <w:rFonts w:cs="Segoe UI"/>
          <w:bCs/>
          <w:sz w:val="20"/>
          <w:szCs w:val="20"/>
        </w:rPr>
        <w:t>completion.</w:t>
      </w:r>
    </w:p>
    <w:p w14:paraId="1E962161" w14:textId="77777777" w:rsidR="006370F5" w:rsidRPr="006370F5" w:rsidRDefault="006370F5" w:rsidP="006370F5">
      <w:pPr>
        <w:contextualSpacing/>
        <w:rPr>
          <w:rFonts w:cs="Segoe UI"/>
          <w:bCs/>
          <w:sz w:val="20"/>
          <w:szCs w:val="20"/>
        </w:rPr>
      </w:pPr>
    </w:p>
    <w:p w14:paraId="008B4C60" w14:textId="77777777" w:rsidR="006370F5" w:rsidRPr="006370F5" w:rsidRDefault="006370F5" w:rsidP="006370F5">
      <w:pPr>
        <w:contextualSpacing/>
        <w:rPr>
          <w:rFonts w:cs="Segoe UI"/>
          <w:bCs/>
          <w:sz w:val="20"/>
          <w:szCs w:val="20"/>
        </w:rPr>
      </w:pPr>
      <w:r w:rsidRPr="006370F5">
        <w:rPr>
          <w:rFonts w:cs="Segoe UI"/>
          <w:bCs/>
          <w:sz w:val="20"/>
          <w:szCs w:val="20"/>
        </w:rPr>
        <w:t>The customer will use Building 15 as a distribution centre, which will benefit from the park’s ideal location for companies operating throughout the Central and Eastern Europe (CEE) region and Austria. CBRE facilitated the transaction.</w:t>
      </w:r>
    </w:p>
    <w:p w14:paraId="7AFDB2F2" w14:textId="77777777" w:rsidR="006370F5" w:rsidRPr="006370F5" w:rsidRDefault="006370F5" w:rsidP="006370F5">
      <w:pPr>
        <w:contextualSpacing/>
        <w:rPr>
          <w:rFonts w:cs="Segoe UI"/>
          <w:bCs/>
          <w:sz w:val="20"/>
          <w:szCs w:val="20"/>
        </w:rPr>
      </w:pPr>
    </w:p>
    <w:p w14:paraId="71C6F755" w14:textId="2AB7BF2A" w:rsidR="006370F5" w:rsidRPr="006370F5" w:rsidRDefault="006370F5" w:rsidP="006370F5">
      <w:pPr>
        <w:contextualSpacing/>
        <w:rPr>
          <w:rFonts w:cs="Segoe UI"/>
          <w:bCs/>
          <w:sz w:val="20"/>
          <w:szCs w:val="20"/>
        </w:rPr>
      </w:pPr>
      <w:r w:rsidRPr="006370F5">
        <w:rPr>
          <w:rFonts w:cs="Segoe UI"/>
          <w:bCs/>
          <w:sz w:val="20"/>
          <w:szCs w:val="20"/>
        </w:rPr>
        <w:t xml:space="preserve">“This transaction is a sign of the continued high demand for industrial space in </w:t>
      </w:r>
      <w:r w:rsidR="00837C32">
        <w:rPr>
          <w:rFonts w:cs="Segoe UI"/>
          <w:bCs/>
          <w:sz w:val="20"/>
          <w:szCs w:val="20"/>
        </w:rPr>
        <w:t>our</w:t>
      </w:r>
      <w:r w:rsidR="00837C32" w:rsidRPr="006370F5">
        <w:rPr>
          <w:rFonts w:cs="Segoe UI"/>
          <w:bCs/>
          <w:sz w:val="20"/>
          <w:szCs w:val="20"/>
        </w:rPr>
        <w:t xml:space="preserve"> </w:t>
      </w:r>
      <w:r w:rsidRPr="006370F5">
        <w:rPr>
          <w:rFonts w:cs="Segoe UI"/>
          <w:bCs/>
          <w:sz w:val="20"/>
          <w:szCs w:val="20"/>
        </w:rPr>
        <w:t xml:space="preserve">park. Customers are looking to take advantage of the park’s accessibility and amenities, as well as the quality of infrastructure that Prologis provides all </w:t>
      </w:r>
      <w:r w:rsidR="00837C32">
        <w:rPr>
          <w:rFonts w:cs="Segoe UI"/>
          <w:bCs/>
          <w:sz w:val="20"/>
          <w:szCs w:val="20"/>
        </w:rPr>
        <w:t xml:space="preserve">of </w:t>
      </w:r>
      <w:r w:rsidRPr="006370F5">
        <w:rPr>
          <w:rFonts w:cs="Segoe UI"/>
          <w:bCs/>
          <w:sz w:val="20"/>
          <w:szCs w:val="20"/>
        </w:rPr>
        <w:t>its customers,” says Martin Stratov, senior leasing and development manager, Prologis Slovakia.</w:t>
      </w:r>
    </w:p>
    <w:p w14:paraId="790B6233" w14:textId="77777777" w:rsidR="006370F5" w:rsidRPr="006370F5" w:rsidRDefault="006370F5" w:rsidP="006370F5">
      <w:pPr>
        <w:contextualSpacing/>
        <w:rPr>
          <w:rFonts w:cs="Segoe UI"/>
          <w:bCs/>
          <w:sz w:val="20"/>
          <w:szCs w:val="20"/>
        </w:rPr>
      </w:pPr>
    </w:p>
    <w:p w14:paraId="44C33524" w14:textId="79F38C16" w:rsidR="006370F5" w:rsidRPr="006370F5" w:rsidRDefault="006370F5" w:rsidP="006370F5">
      <w:pPr>
        <w:contextualSpacing/>
        <w:rPr>
          <w:rFonts w:cs="Segoe UI"/>
          <w:bCs/>
          <w:sz w:val="20"/>
          <w:szCs w:val="20"/>
        </w:rPr>
      </w:pPr>
      <w:r w:rsidRPr="006370F5">
        <w:rPr>
          <w:rFonts w:cs="Segoe UI"/>
          <w:bCs/>
          <w:sz w:val="20"/>
          <w:szCs w:val="20"/>
        </w:rPr>
        <w:t>Prologis Park Bratislava currently comprises 16 facilities totalling more than 345,000 square metres of manufacturing and distribution space</w:t>
      </w:r>
      <w:r w:rsidR="00837C32">
        <w:rPr>
          <w:rFonts w:cs="Segoe UI"/>
          <w:bCs/>
          <w:sz w:val="20"/>
          <w:szCs w:val="20"/>
        </w:rPr>
        <w:t>,</w:t>
      </w:r>
      <w:r w:rsidRPr="006370F5">
        <w:rPr>
          <w:rFonts w:cs="Segoe UI"/>
          <w:bCs/>
          <w:sz w:val="20"/>
          <w:szCs w:val="20"/>
        </w:rPr>
        <w:t xml:space="preserve"> and is Prologis’ largest park in the CEE portfolio. It has a build-out potential of an additional 66,000 square metres. The park is located 24 kilometres east of Bratislava’s city centre, </w:t>
      </w:r>
      <w:r w:rsidR="00837C32">
        <w:rPr>
          <w:rFonts w:cs="Segoe UI"/>
          <w:bCs/>
          <w:sz w:val="20"/>
          <w:szCs w:val="20"/>
        </w:rPr>
        <w:t>2</w:t>
      </w:r>
      <w:r w:rsidR="00837C32" w:rsidRPr="006370F5">
        <w:rPr>
          <w:rFonts w:cs="Segoe UI"/>
          <w:bCs/>
          <w:sz w:val="20"/>
          <w:szCs w:val="20"/>
        </w:rPr>
        <w:t xml:space="preserve"> </w:t>
      </w:r>
      <w:r w:rsidRPr="006370F5">
        <w:rPr>
          <w:rFonts w:cs="Segoe UI"/>
          <w:bCs/>
          <w:sz w:val="20"/>
          <w:szCs w:val="20"/>
        </w:rPr>
        <w:t xml:space="preserve">kilometres from Senec and 16 kilometres from the international airport. </w:t>
      </w:r>
    </w:p>
    <w:p w14:paraId="0FDA6E3D" w14:textId="77777777" w:rsidR="006370F5" w:rsidRPr="006370F5" w:rsidRDefault="006370F5" w:rsidP="006370F5">
      <w:pPr>
        <w:contextualSpacing/>
        <w:rPr>
          <w:rFonts w:cs="Segoe UI"/>
          <w:bCs/>
          <w:sz w:val="20"/>
          <w:szCs w:val="20"/>
        </w:rPr>
      </w:pPr>
    </w:p>
    <w:p w14:paraId="49C3CA90" w14:textId="054CC48B" w:rsidR="006370F5" w:rsidRDefault="006370F5" w:rsidP="006370F5">
      <w:pPr>
        <w:contextualSpacing/>
        <w:rPr>
          <w:rFonts w:cs="Segoe UI"/>
          <w:bCs/>
          <w:sz w:val="20"/>
          <w:szCs w:val="20"/>
        </w:rPr>
      </w:pPr>
      <w:r w:rsidRPr="006370F5">
        <w:rPr>
          <w:rFonts w:cs="Segoe UI"/>
          <w:bCs/>
          <w:sz w:val="20"/>
          <w:szCs w:val="20"/>
        </w:rPr>
        <w:t>Prologis is the leading provider of distribution facilities in Slovakia with more than 530,000 square metres of logistics and industrial space (as of 31 March, 2017).</w:t>
      </w:r>
    </w:p>
    <w:p w14:paraId="773EDD30" w14:textId="77777777" w:rsidR="006370F5" w:rsidRPr="006370F5" w:rsidRDefault="006370F5" w:rsidP="006370F5">
      <w:pPr>
        <w:spacing w:before="180" w:after="60"/>
        <w:rPr>
          <w:rFonts w:ascii="Segoe UI Semibold" w:hAnsi="Segoe UI Semibold"/>
          <w:color w:val="auto"/>
          <w:sz w:val="20"/>
          <w:szCs w:val="20"/>
          <w:lang w:val="en-GB"/>
        </w:rPr>
      </w:pPr>
    </w:p>
    <w:bookmarkEnd w:id="0"/>
    <w:p w14:paraId="59C7BF78" w14:textId="77777777" w:rsidR="00837C32" w:rsidRPr="00E31BF3" w:rsidRDefault="00837C32" w:rsidP="00837C32">
      <w:pPr>
        <w:autoSpaceDE w:val="0"/>
        <w:autoSpaceDN w:val="0"/>
        <w:adjustRightInd w:val="0"/>
        <w:spacing w:after="0" w:line="240" w:lineRule="auto"/>
        <w:rPr>
          <w:rFonts w:eastAsiaTheme="minorHAnsi" w:cs="Segoe UI"/>
          <w:b/>
          <w:bCs/>
          <w:sz w:val="18"/>
          <w:szCs w:val="18"/>
        </w:rPr>
      </w:pPr>
      <w:r w:rsidRPr="00E31BF3">
        <w:rPr>
          <w:rFonts w:cs="Segoe UI"/>
          <w:b/>
          <w:bCs/>
          <w:sz w:val="18"/>
          <w:szCs w:val="18"/>
        </w:rPr>
        <w:t>ABOUT PROLOGIS</w:t>
      </w:r>
      <w:r w:rsidRPr="00E31BF3">
        <w:rPr>
          <w:rFonts w:cs="Segoe UI"/>
          <w:b/>
          <w:bCs/>
          <w:sz w:val="18"/>
          <w:szCs w:val="18"/>
        </w:rPr>
        <w:br/>
      </w:r>
      <w:r w:rsidRPr="00E31BF3">
        <w:rPr>
          <w:rFonts w:eastAsiaTheme="minorHAnsi" w:cs="Segoe UI"/>
          <w:sz w:val="18"/>
          <w:szCs w:val="18"/>
        </w:rPr>
        <w:t>Prologis, Inc. is the global leader in logistics real estate with a focus on high-barrier, high-growth markets. As of March 31, 2017, the company owned or had investments in, on a wholly owned basis or through co-investment ventures, properties and development projects expected to total approximately 678 million square feet (63 million square meters) in 19 countries. Prologis leases modern distribution facilities to a diverse base of approximately 5,200 customers across two major categories: business-to-business and retail/online fulfillment.</w:t>
      </w:r>
    </w:p>
    <w:p w14:paraId="020E51BF" w14:textId="77777777" w:rsidR="00D24449" w:rsidRPr="00E31BF3" w:rsidRDefault="00D24449" w:rsidP="00DF060F">
      <w:pPr>
        <w:spacing w:before="180" w:after="60"/>
        <w:rPr>
          <w:rFonts w:cs="Segoe UI"/>
          <w:b/>
          <w:bCs/>
          <w:sz w:val="18"/>
          <w:szCs w:val="18"/>
        </w:rPr>
      </w:pPr>
      <w:r w:rsidRPr="00E31BF3">
        <w:rPr>
          <w:rFonts w:cs="Segoe UI"/>
          <w:b/>
          <w:bCs/>
          <w:sz w:val="18"/>
          <w:szCs w:val="18"/>
        </w:rPr>
        <w:t>Forward-</w:t>
      </w:r>
      <w:r w:rsidR="00837C32" w:rsidRPr="00E31BF3">
        <w:rPr>
          <w:rFonts w:cs="Segoe UI"/>
          <w:b/>
          <w:bCs/>
          <w:sz w:val="18"/>
          <w:szCs w:val="18"/>
        </w:rPr>
        <w:t>L</w:t>
      </w:r>
      <w:r w:rsidRPr="00E31BF3">
        <w:rPr>
          <w:rFonts w:cs="Segoe UI"/>
          <w:b/>
          <w:bCs/>
          <w:sz w:val="18"/>
          <w:szCs w:val="18"/>
        </w:rPr>
        <w:t>ooking Statements</w:t>
      </w:r>
    </w:p>
    <w:p w14:paraId="7A62C6D4" w14:textId="77777777" w:rsidR="00D24449" w:rsidRPr="006370F5" w:rsidRDefault="00D24449" w:rsidP="00C34FB5">
      <w:pPr>
        <w:spacing w:before="60" w:after="180"/>
        <w:rPr>
          <w:rFonts w:cs="Segoe UI"/>
          <w:bCs/>
          <w:sz w:val="18"/>
          <w:szCs w:val="18"/>
        </w:rPr>
      </w:pPr>
      <w:r w:rsidRPr="006370F5">
        <w:rPr>
          <w:rFonts w:cs="Segoe UI"/>
          <w:bCs/>
          <w:sz w:val="18"/>
          <w:szCs w:val="18"/>
        </w:rPr>
        <w:t xml:space="preserve">The statements in this release that are not historical facts are forward-looking statements within the meaning of Section 27A of the Securities Act of 1933, as amended, and Section 21E of the Securities Exchange Act of 1934, as </w:t>
      </w:r>
      <w:r w:rsidRPr="006370F5">
        <w:rPr>
          <w:rFonts w:cs="Segoe UI"/>
          <w:bCs/>
          <w:sz w:val="18"/>
          <w:szCs w:val="18"/>
        </w:rPr>
        <w:lastRenderedPageBreak/>
        <w:t>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14:paraId="3A72A6EF" w14:textId="77777777" w:rsidR="006D6725" w:rsidRPr="006370F5" w:rsidRDefault="006D6725" w:rsidP="00D24449">
      <w:pPr>
        <w:spacing w:before="120" w:after="120"/>
        <w:rPr>
          <w:rFonts w:cs="Segoe UI"/>
          <w:bCs/>
          <w:sz w:val="18"/>
          <w:szCs w:val="18"/>
        </w:rPr>
      </w:pPr>
    </w:p>
    <w:p w14:paraId="5B7AE93A" w14:textId="77777777" w:rsidR="006370F5" w:rsidRPr="006370F5" w:rsidRDefault="006370F5" w:rsidP="006370F5">
      <w:pPr>
        <w:spacing w:after="0" w:line="240" w:lineRule="auto"/>
        <w:rPr>
          <w:rFonts w:ascii="Segoe UI Semibold" w:hAnsi="Segoe UI Semibold" w:cs="Segoe UI"/>
          <w:bCs/>
          <w:sz w:val="18"/>
          <w:szCs w:val="18"/>
        </w:rPr>
      </w:pPr>
      <w:r w:rsidRPr="006370F5">
        <w:rPr>
          <w:rFonts w:ascii="Segoe UI Semibold" w:hAnsi="Segoe UI Semibold" w:cs="Segoe UI"/>
          <w:bCs/>
          <w:sz w:val="18"/>
          <w:szCs w:val="18"/>
        </w:rPr>
        <w:t>MEDIA CONTACTS</w:t>
      </w:r>
    </w:p>
    <w:p w14:paraId="15523E13" w14:textId="77777777" w:rsidR="006370F5" w:rsidRPr="006370F5" w:rsidRDefault="006370F5" w:rsidP="006370F5">
      <w:pPr>
        <w:spacing w:after="0" w:line="240" w:lineRule="auto"/>
        <w:rPr>
          <w:rFonts w:cs="Segoe UI"/>
          <w:bCs/>
          <w:sz w:val="18"/>
          <w:szCs w:val="18"/>
        </w:rPr>
      </w:pPr>
      <w:r w:rsidRPr="006370F5">
        <w:rPr>
          <w:rFonts w:cs="Segoe UI"/>
          <w:bCs/>
          <w:sz w:val="18"/>
          <w:szCs w:val="18"/>
        </w:rPr>
        <w:t>Marta Tęsiorowska</w:t>
      </w:r>
    </w:p>
    <w:p w14:paraId="0F2416E1" w14:textId="77777777" w:rsidR="006370F5" w:rsidRPr="006370F5" w:rsidRDefault="006370F5" w:rsidP="006370F5">
      <w:pPr>
        <w:spacing w:after="0" w:line="240" w:lineRule="auto"/>
        <w:rPr>
          <w:rFonts w:cs="Segoe UI"/>
          <w:bCs/>
          <w:sz w:val="18"/>
          <w:szCs w:val="18"/>
        </w:rPr>
      </w:pPr>
      <w:r w:rsidRPr="006370F5">
        <w:rPr>
          <w:rFonts w:cs="Segoe UI"/>
          <w:bCs/>
          <w:sz w:val="18"/>
          <w:szCs w:val="18"/>
        </w:rPr>
        <w:t>Vice President, Head of Marketing &amp; Communications Europe, Prologis</w:t>
      </w:r>
    </w:p>
    <w:p w14:paraId="768E5D26" w14:textId="77777777" w:rsidR="006370F5" w:rsidRPr="006370F5" w:rsidRDefault="006370F5" w:rsidP="006370F5">
      <w:pPr>
        <w:spacing w:after="0" w:line="240" w:lineRule="auto"/>
        <w:rPr>
          <w:rFonts w:cs="Segoe UI"/>
          <w:bCs/>
          <w:sz w:val="18"/>
          <w:szCs w:val="18"/>
        </w:rPr>
      </w:pPr>
      <w:r w:rsidRPr="006370F5">
        <w:rPr>
          <w:rFonts w:cs="Segoe UI"/>
          <w:bCs/>
          <w:sz w:val="18"/>
          <w:szCs w:val="18"/>
        </w:rPr>
        <w:t>+48 22 218 36 56</w:t>
      </w:r>
      <w:r>
        <w:rPr>
          <w:rFonts w:cs="Segoe UI"/>
          <w:bCs/>
          <w:sz w:val="18"/>
          <w:szCs w:val="18"/>
        </w:rPr>
        <w:t xml:space="preserve">, </w:t>
      </w:r>
      <w:r w:rsidRPr="006370F5">
        <w:rPr>
          <w:rFonts w:cs="Segoe UI"/>
          <w:bCs/>
          <w:sz w:val="18"/>
          <w:szCs w:val="18"/>
        </w:rPr>
        <w:t>mtesiorowska@prologis.com</w:t>
      </w:r>
    </w:p>
    <w:p w14:paraId="4E986979" w14:textId="77777777" w:rsidR="006370F5" w:rsidRPr="006370F5" w:rsidRDefault="006370F5" w:rsidP="006370F5">
      <w:pPr>
        <w:spacing w:after="0" w:line="240" w:lineRule="auto"/>
        <w:rPr>
          <w:rFonts w:cs="Segoe UI"/>
          <w:bCs/>
          <w:sz w:val="18"/>
          <w:szCs w:val="18"/>
        </w:rPr>
      </w:pPr>
    </w:p>
    <w:p w14:paraId="4C1D3DE9" w14:textId="77777777" w:rsidR="007C29D5" w:rsidRDefault="007C29D5" w:rsidP="007C29D5">
      <w:pPr>
        <w:autoSpaceDE w:val="0"/>
        <w:autoSpaceDN w:val="0"/>
        <w:adjustRightInd w:val="0"/>
        <w:spacing w:after="0" w:line="240" w:lineRule="auto"/>
        <w:jc w:val="both"/>
        <w:rPr>
          <w:rFonts w:eastAsia="Times New Roman" w:cs="Segoe UI"/>
          <w:color w:val="auto"/>
          <w:sz w:val="18"/>
          <w:szCs w:val="18"/>
          <w:lang w:eastAsia="sk-SK"/>
        </w:rPr>
      </w:pPr>
      <w:r>
        <w:rPr>
          <w:rFonts w:eastAsia="Times New Roman" w:cs="Segoe UI"/>
          <w:color w:val="auto"/>
          <w:sz w:val="18"/>
          <w:szCs w:val="18"/>
          <w:lang w:eastAsia="sk-SK"/>
        </w:rPr>
        <w:t xml:space="preserve">Anna Szarek </w:t>
      </w:r>
    </w:p>
    <w:p w14:paraId="18DCFEDF" w14:textId="77777777" w:rsidR="007C29D5" w:rsidRDefault="007C29D5" w:rsidP="007C29D5">
      <w:pPr>
        <w:tabs>
          <w:tab w:val="left" w:pos="5040"/>
          <w:tab w:val="left" w:pos="5760"/>
        </w:tabs>
        <w:autoSpaceDE w:val="0"/>
        <w:autoSpaceDN w:val="0"/>
        <w:adjustRightInd w:val="0"/>
        <w:spacing w:after="0" w:line="240" w:lineRule="auto"/>
        <w:jc w:val="both"/>
        <w:rPr>
          <w:rFonts w:eastAsia="Times New Roman" w:cs="Segoe UI"/>
          <w:color w:val="auto"/>
          <w:sz w:val="18"/>
          <w:szCs w:val="18"/>
          <w:lang w:eastAsia="sk-SK"/>
        </w:rPr>
      </w:pPr>
      <w:r>
        <w:rPr>
          <w:rFonts w:eastAsia="Times New Roman" w:cs="Segoe UI"/>
          <w:color w:val="auto"/>
          <w:sz w:val="18"/>
          <w:szCs w:val="18"/>
          <w:lang w:eastAsia="sk-SK"/>
        </w:rPr>
        <w:t xml:space="preserve">Account Manager, ConTrust Communication </w:t>
      </w:r>
    </w:p>
    <w:p w14:paraId="712A61B6" w14:textId="77777777" w:rsidR="007C29D5" w:rsidRDefault="007C29D5" w:rsidP="007C29D5">
      <w:pPr>
        <w:tabs>
          <w:tab w:val="left" w:pos="5040"/>
          <w:tab w:val="left" w:pos="5760"/>
        </w:tabs>
        <w:autoSpaceDE w:val="0"/>
        <w:autoSpaceDN w:val="0"/>
        <w:adjustRightInd w:val="0"/>
        <w:spacing w:after="0" w:line="240" w:lineRule="auto"/>
        <w:jc w:val="both"/>
        <w:rPr>
          <w:rFonts w:eastAsia="Times New Roman" w:cs="Segoe UI"/>
          <w:color w:val="auto"/>
          <w:sz w:val="18"/>
          <w:szCs w:val="18"/>
          <w:lang w:eastAsia="sk-SK"/>
        </w:rPr>
      </w:pPr>
      <w:r>
        <w:rPr>
          <w:rFonts w:eastAsia="Times New Roman" w:cs="Segoe UI"/>
          <w:color w:val="auto"/>
          <w:sz w:val="18"/>
          <w:szCs w:val="18"/>
          <w:lang w:eastAsia="sk-SK"/>
        </w:rPr>
        <w:t>Direct: + 48 5</w:t>
      </w:r>
      <w:bookmarkStart w:id="1" w:name="_GoBack"/>
      <w:bookmarkEnd w:id="1"/>
      <w:r>
        <w:rPr>
          <w:rFonts w:eastAsia="Times New Roman" w:cs="Segoe UI"/>
          <w:color w:val="auto"/>
          <w:sz w:val="18"/>
          <w:szCs w:val="18"/>
          <w:lang w:eastAsia="sk-SK"/>
        </w:rPr>
        <w:t>01 121 711</w:t>
      </w:r>
    </w:p>
    <w:p w14:paraId="01F385DF" w14:textId="77777777" w:rsidR="007C29D5" w:rsidRDefault="007C29D5" w:rsidP="007C29D5">
      <w:pPr>
        <w:tabs>
          <w:tab w:val="center" w:pos="5520"/>
          <w:tab w:val="left" w:pos="8925"/>
        </w:tabs>
        <w:spacing w:after="0" w:line="240" w:lineRule="auto"/>
        <w:rPr>
          <w:rFonts w:eastAsia="Times New Roman" w:cs="Segoe UI"/>
          <w:color w:val="auto"/>
          <w:sz w:val="18"/>
          <w:szCs w:val="18"/>
          <w:lang w:eastAsia="sk-SK"/>
        </w:rPr>
      </w:pPr>
      <w:r>
        <w:rPr>
          <w:rFonts w:eastAsia="Times New Roman" w:cs="Segoe UI"/>
          <w:color w:val="auto"/>
          <w:sz w:val="18"/>
          <w:szCs w:val="18"/>
          <w:lang w:eastAsia="sk-SK"/>
        </w:rPr>
        <w:t>E-mail: a.szarek@contrust.pl</w:t>
      </w:r>
    </w:p>
    <w:p w14:paraId="646C4D15" w14:textId="3BC33D8E" w:rsidR="00561F36" w:rsidRPr="006370F5" w:rsidRDefault="00561F36" w:rsidP="007C29D5">
      <w:pPr>
        <w:spacing w:after="0" w:line="240" w:lineRule="auto"/>
        <w:rPr>
          <w:rFonts w:cs="Segoe UI"/>
          <w:bCs/>
          <w:sz w:val="20"/>
          <w:szCs w:val="20"/>
        </w:rPr>
      </w:pPr>
    </w:p>
    <w:sectPr w:rsidR="00561F36" w:rsidRPr="006370F5" w:rsidSect="009713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87A0" w14:textId="77777777" w:rsidR="00271353" w:rsidRDefault="00271353" w:rsidP="00D57B7E">
      <w:pPr>
        <w:spacing w:after="0" w:line="240" w:lineRule="auto"/>
      </w:pPr>
      <w:r>
        <w:separator/>
      </w:r>
    </w:p>
  </w:endnote>
  <w:endnote w:type="continuationSeparator" w:id="0">
    <w:p w14:paraId="0FCA55FD" w14:textId="77777777" w:rsidR="00271353" w:rsidRDefault="00271353"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364D9" w14:textId="77777777" w:rsidR="005D4E18" w:rsidRDefault="005D4E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19BF" w14:textId="1ED3400B" w:rsidR="004336E5" w:rsidRPr="00BF089A" w:rsidRDefault="007C29D5"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2</w:t>
        </w:r>
        <w:r w:rsidR="004336E5" w:rsidRPr="00BF089A">
          <w:rPr>
            <w:rFonts w:cs="Segoe UI"/>
            <w:noProof/>
            <w:sz w:val="19"/>
            <w:szCs w:val="19"/>
          </w:rPr>
          <w:fldChar w:fldCharType="end"/>
        </w:r>
      </w:sdtContent>
    </w:sdt>
  </w:p>
  <w:p w14:paraId="387EB4D1" w14:textId="77777777" w:rsidR="00DD3496" w:rsidRDefault="00DD34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540A" w14:textId="77777777" w:rsidR="005D4E18" w:rsidRDefault="005D4E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04FC" w14:textId="77777777" w:rsidR="00271353" w:rsidRDefault="00271353" w:rsidP="00D57B7E">
      <w:pPr>
        <w:spacing w:after="0" w:line="240" w:lineRule="auto"/>
      </w:pPr>
      <w:r>
        <w:separator/>
      </w:r>
    </w:p>
  </w:footnote>
  <w:footnote w:type="continuationSeparator" w:id="0">
    <w:p w14:paraId="759CE82E" w14:textId="77777777" w:rsidR="00271353" w:rsidRDefault="00271353" w:rsidP="00D5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3BAB" w14:textId="77777777" w:rsidR="005D4E18" w:rsidRDefault="005D4E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C333" w14:textId="77777777" w:rsidR="000F3215" w:rsidRDefault="000F3215" w:rsidP="005973A1">
    <w:pPr>
      <w:jc w:val="right"/>
    </w:pPr>
  </w:p>
  <w:p w14:paraId="2AD5324D" w14:textId="77777777" w:rsidR="000F3215" w:rsidRDefault="000F32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CFD9" w14:textId="77777777" w:rsidR="00AA5067" w:rsidRDefault="00AA5067"/>
  <w:p w14:paraId="40A37F17" w14:textId="77777777" w:rsidR="00DD3496" w:rsidRDefault="00334256">
    <w:r w:rsidRPr="00E65DB0">
      <w:rPr>
        <w:noProof/>
        <w:lang w:val="pl-PL" w:eastAsia="pl-PL"/>
      </w:rPr>
      <w:drawing>
        <wp:anchor distT="0" distB="0" distL="114300" distR="114300" simplePos="0" relativeHeight="251672576" behindDoc="0" locked="0" layoutInCell="1" allowOverlap="1" wp14:anchorId="5F9B5071" wp14:editId="6469DBE3">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7"/>
  </w:num>
  <w:num w:numId="26">
    <w:abstractNumId w:val="21"/>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FCD"/>
    <w:rsid w:val="00007B3E"/>
    <w:rsid w:val="00010104"/>
    <w:rsid w:val="00011535"/>
    <w:rsid w:val="000166BD"/>
    <w:rsid w:val="00023B5D"/>
    <w:rsid w:val="00023C05"/>
    <w:rsid w:val="00023E1A"/>
    <w:rsid w:val="0002463B"/>
    <w:rsid w:val="000272C0"/>
    <w:rsid w:val="00037563"/>
    <w:rsid w:val="00047F92"/>
    <w:rsid w:val="00060D68"/>
    <w:rsid w:val="00063B46"/>
    <w:rsid w:val="00067FA1"/>
    <w:rsid w:val="00071DD3"/>
    <w:rsid w:val="00072702"/>
    <w:rsid w:val="00080961"/>
    <w:rsid w:val="00084FE6"/>
    <w:rsid w:val="0009348C"/>
    <w:rsid w:val="000946D9"/>
    <w:rsid w:val="000952C3"/>
    <w:rsid w:val="000A04EE"/>
    <w:rsid w:val="000A21A1"/>
    <w:rsid w:val="000A50E7"/>
    <w:rsid w:val="000B0B8E"/>
    <w:rsid w:val="000B2481"/>
    <w:rsid w:val="000C0518"/>
    <w:rsid w:val="000C1332"/>
    <w:rsid w:val="000C3D3A"/>
    <w:rsid w:val="000C5341"/>
    <w:rsid w:val="000C5CEA"/>
    <w:rsid w:val="000E1525"/>
    <w:rsid w:val="000E4885"/>
    <w:rsid w:val="000E554E"/>
    <w:rsid w:val="000E6A1F"/>
    <w:rsid w:val="000E6CFC"/>
    <w:rsid w:val="000F3215"/>
    <w:rsid w:val="000F46ED"/>
    <w:rsid w:val="000F4D8D"/>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7C6E"/>
    <w:rsid w:val="00180A8B"/>
    <w:rsid w:val="001825A5"/>
    <w:rsid w:val="00187C4E"/>
    <w:rsid w:val="00193C52"/>
    <w:rsid w:val="001A19E9"/>
    <w:rsid w:val="001A621A"/>
    <w:rsid w:val="001C7D32"/>
    <w:rsid w:val="001D065E"/>
    <w:rsid w:val="001D44EC"/>
    <w:rsid w:val="001E34A3"/>
    <w:rsid w:val="001E39FF"/>
    <w:rsid w:val="001E67A1"/>
    <w:rsid w:val="001F2CDA"/>
    <w:rsid w:val="00201945"/>
    <w:rsid w:val="002071F9"/>
    <w:rsid w:val="00207601"/>
    <w:rsid w:val="00210C56"/>
    <w:rsid w:val="0021290E"/>
    <w:rsid w:val="00213F92"/>
    <w:rsid w:val="00220569"/>
    <w:rsid w:val="00223911"/>
    <w:rsid w:val="002315C2"/>
    <w:rsid w:val="00231936"/>
    <w:rsid w:val="00231BB3"/>
    <w:rsid w:val="00237D61"/>
    <w:rsid w:val="0024158D"/>
    <w:rsid w:val="0024327F"/>
    <w:rsid w:val="002476C4"/>
    <w:rsid w:val="00250F24"/>
    <w:rsid w:val="002537BD"/>
    <w:rsid w:val="002570E3"/>
    <w:rsid w:val="0025799B"/>
    <w:rsid w:val="00271353"/>
    <w:rsid w:val="00271FFD"/>
    <w:rsid w:val="0027314A"/>
    <w:rsid w:val="0027471B"/>
    <w:rsid w:val="0028244D"/>
    <w:rsid w:val="00287CF2"/>
    <w:rsid w:val="00290F7E"/>
    <w:rsid w:val="0029507C"/>
    <w:rsid w:val="002A1717"/>
    <w:rsid w:val="002B3E56"/>
    <w:rsid w:val="002C6B00"/>
    <w:rsid w:val="002D2F87"/>
    <w:rsid w:val="002E430E"/>
    <w:rsid w:val="002F466C"/>
    <w:rsid w:val="0031027F"/>
    <w:rsid w:val="00311BC8"/>
    <w:rsid w:val="0031781D"/>
    <w:rsid w:val="0032143B"/>
    <w:rsid w:val="00326232"/>
    <w:rsid w:val="0033239C"/>
    <w:rsid w:val="003325E1"/>
    <w:rsid w:val="00334256"/>
    <w:rsid w:val="00335527"/>
    <w:rsid w:val="00345F78"/>
    <w:rsid w:val="003464F2"/>
    <w:rsid w:val="003508D5"/>
    <w:rsid w:val="00350A2A"/>
    <w:rsid w:val="00352961"/>
    <w:rsid w:val="0035584F"/>
    <w:rsid w:val="0037450F"/>
    <w:rsid w:val="00374E1B"/>
    <w:rsid w:val="00376950"/>
    <w:rsid w:val="00390A84"/>
    <w:rsid w:val="00390FDD"/>
    <w:rsid w:val="00391ED9"/>
    <w:rsid w:val="003920C0"/>
    <w:rsid w:val="00393047"/>
    <w:rsid w:val="003A1BD0"/>
    <w:rsid w:val="003B1657"/>
    <w:rsid w:val="003B288C"/>
    <w:rsid w:val="003B634C"/>
    <w:rsid w:val="003C3B87"/>
    <w:rsid w:val="003D467F"/>
    <w:rsid w:val="003D5102"/>
    <w:rsid w:val="003D7C25"/>
    <w:rsid w:val="003E7509"/>
    <w:rsid w:val="003F4A9A"/>
    <w:rsid w:val="0040005E"/>
    <w:rsid w:val="00401E27"/>
    <w:rsid w:val="004033E0"/>
    <w:rsid w:val="004241C3"/>
    <w:rsid w:val="004336E5"/>
    <w:rsid w:val="00437A93"/>
    <w:rsid w:val="00443F67"/>
    <w:rsid w:val="004469CA"/>
    <w:rsid w:val="00451D89"/>
    <w:rsid w:val="00452D22"/>
    <w:rsid w:val="004552AC"/>
    <w:rsid w:val="004607A3"/>
    <w:rsid w:val="004638B0"/>
    <w:rsid w:val="00464A52"/>
    <w:rsid w:val="00470BC8"/>
    <w:rsid w:val="00470E53"/>
    <w:rsid w:val="00472ECC"/>
    <w:rsid w:val="004764C8"/>
    <w:rsid w:val="0048182A"/>
    <w:rsid w:val="00482ADA"/>
    <w:rsid w:val="00485406"/>
    <w:rsid w:val="00490AF4"/>
    <w:rsid w:val="00493058"/>
    <w:rsid w:val="004A0930"/>
    <w:rsid w:val="004A46CB"/>
    <w:rsid w:val="004B2CE5"/>
    <w:rsid w:val="004B31BC"/>
    <w:rsid w:val="004C10AD"/>
    <w:rsid w:val="004C2AC7"/>
    <w:rsid w:val="004C41F1"/>
    <w:rsid w:val="004C737C"/>
    <w:rsid w:val="004C7B98"/>
    <w:rsid w:val="004D3F89"/>
    <w:rsid w:val="004E04B0"/>
    <w:rsid w:val="004E2B92"/>
    <w:rsid w:val="004F19C2"/>
    <w:rsid w:val="004F4372"/>
    <w:rsid w:val="004F4DF8"/>
    <w:rsid w:val="00504FA5"/>
    <w:rsid w:val="0051290C"/>
    <w:rsid w:val="0052097F"/>
    <w:rsid w:val="00525EDD"/>
    <w:rsid w:val="00536015"/>
    <w:rsid w:val="00545436"/>
    <w:rsid w:val="00546E38"/>
    <w:rsid w:val="0055002B"/>
    <w:rsid w:val="005501D4"/>
    <w:rsid w:val="00556FFE"/>
    <w:rsid w:val="005573AF"/>
    <w:rsid w:val="0056143C"/>
    <w:rsid w:val="00561C04"/>
    <w:rsid w:val="00561F36"/>
    <w:rsid w:val="00563DF3"/>
    <w:rsid w:val="0056718B"/>
    <w:rsid w:val="00567AB1"/>
    <w:rsid w:val="0057025B"/>
    <w:rsid w:val="005827FA"/>
    <w:rsid w:val="00582A7C"/>
    <w:rsid w:val="00583B45"/>
    <w:rsid w:val="00592C72"/>
    <w:rsid w:val="005950F3"/>
    <w:rsid w:val="0059578D"/>
    <w:rsid w:val="005973A1"/>
    <w:rsid w:val="005A0418"/>
    <w:rsid w:val="005A075D"/>
    <w:rsid w:val="005A7106"/>
    <w:rsid w:val="005B5A24"/>
    <w:rsid w:val="005C7144"/>
    <w:rsid w:val="005D4C67"/>
    <w:rsid w:val="005D4E18"/>
    <w:rsid w:val="005E1C4C"/>
    <w:rsid w:val="005E6598"/>
    <w:rsid w:val="005E77D6"/>
    <w:rsid w:val="005F3C09"/>
    <w:rsid w:val="005F4855"/>
    <w:rsid w:val="00607DAD"/>
    <w:rsid w:val="00610D68"/>
    <w:rsid w:val="00614D48"/>
    <w:rsid w:val="006200E7"/>
    <w:rsid w:val="00621EB6"/>
    <w:rsid w:val="00624276"/>
    <w:rsid w:val="00627D9C"/>
    <w:rsid w:val="00633C90"/>
    <w:rsid w:val="006370F5"/>
    <w:rsid w:val="006378DD"/>
    <w:rsid w:val="006437D5"/>
    <w:rsid w:val="0064715B"/>
    <w:rsid w:val="00656EE3"/>
    <w:rsid w:val="00661896"/>
    <w:rsid w:val="0066280F"/>
    <w:rsid w:val="00666DFE"/>
    <w:rsid w:val="006838E0"/>
    <w:rsid w:val="006840EF"/>
    <w:rsid w:val="006846E0"/>
    <w:rsid w:val="0068586C"/>
    <w:rsid w:val="006947FE"/>
    <w:rsid w:val="006A0A94"/>
    <w:rsid w:val="006A1474"/>
    <w:rsid w:val="006A25BC"/>
    <w:rsid w:val="006A7631"/>
    <w:rsid w:val="006B6666"/>
    <w:rsid w:val="006C1AFA"/>
    <w:rsid w:val="006C4751"/>
    <w:rsid w:val="006D548B"/>
    <w:rsid w:val="006D6725"/>
    <w:rsid w:val="006E0BAB"/>
    <w:rsid w:val="006E3E76"/>
    <w:rsid w:val="006E5C08"/>
    <w:rsid w:val="006F1D04"/>
    <w:rsid w:val="006F4332"/>
    <w:rsid w:val="006F637B"/>
    <w:rsid w:val="006F6614"/>
    <w:rsid w:val="007079C8"/>
    <w:rsid w:val="00720C72"/>
    <w:rsid w:val="00721BD6"/>
    <w:rsid w:val="007266D2"/>
    <w:rsid w:val="00733E72"/>
    <w:rsid w:val="0073575B"/>
    <w:rsid w:val="0073592F"/>
    <w:rsid w:val="00750EC2"/>
    <w:rsid w:val="00750FE8"/>
    <w:rsid w:val="00761F5A"/>
    <w:rsid w:val="0076220B"/>
    <w:rsid w:val="00764E46"/>
    <w:rsid w:val="00775A63"/>
    <w:rsid w:val="00785148"/>
    <w:rsid w:val="0078572A"/>
    <w:rsid w:val="00792F13"/>
    <w:rsid w:val="0079772B"/>
    <w:rsid w:val="007A639F"/>
    <w:rsid w:val="007B704E"/>
    <w:rsid w:val="007C29D5"/>
    <w:rsid w:val="007C367F"/>
    <w:rsid w:val="007C58DC"/>
    <w:rsid w:val="007D1EF9"/>
    <w:rsid w:val="007D473D"/>
    <w:rsid w:val="007D4B9A"/>
    <w:rsid w:val="007D6A3D"/>
    <w:rsid w:val="007E436E"/>
    <w:rsid w:val="007E4489"/>
    <w:rsid w:val="007F105C"/>
    <w:rsid w:val="00803C5C"/>
    <w:rsid w:val="008117E2"/>
    <w:rsid w:val="00811A0B"/>
    <w:rsid w:val="00821582"/>
    <w:rsid w:val="00822867"/>
    <w:rsid w:val="0082471B"/>
    <w:rsid w:val="0082621A"/>
    <w:rsid w:val="00830E39"/>
    <w:rsid w:val="00837C32"/>
    <w:rsid w:val="00840C4B"/>
    <w:rsid w:val="00840CB9"/>
    <w:rsid w:val="00840DFD"/>
    <w:rsid w:val="0084315F"/>
    <w:rsid w:val="00845A9A"/>
    <w:rsid w:val="00845F72"/>
    <w:rsid w:val="00846A29"/>
    <w:rsid w:val="00852D43"/>
    <w:rsid w:val="00876FAB"/>
    <w:rsid w:val="00883CCD"/>
    <w:rsid w:val="00887501"/>
    <w:rsid w:val="008912E4"/>
    <w:rsid w:val="008934C2"/>
    <w:rsid w:val="00894B9D"/>
    <w:rsid w:val="008A1B51"/>
    <w:rsid w:val="008B07E2"/>
    <w:rsid w:val="008B09C8"/>
    <w:rsid w:val="008B304C"/>
    <w:rsid w:val="008B6FEE"/>
    <w:rsid w:val="008C47B6"/>
    <w:rsid w:val="008C4A1C"/>
    <w:rsid w:val="008C6083"/>
    <w:rsid w:val="008C63FF"/>
    <w:rsid w:val="008C6A13"/>
    <w:rsid w:val="008C7535"/>
    <w:rsid w:val="008D2985"/>
    <w:rsid w:val="008D2CB2"/>
    <w:rsid w:val="008D2F74"/>
    <w:rsid w:val="008D301C"/>
    <w:rsid w:val="008E039A"/>
    <w:rsid w:val="008E26D0"/>
    <w:rsid w:val="008E54CB"/>
    <w:rsid w:val="008E5F3A"/>
    <w:rsid w:val="008F52FA"/>
    <w:rsid w:val="008F7194"/>
    <w:rsid w:val="008F7793"/>
    <w:rsid w:val="008F7C3B"/>
    <w:rsid w:val="009027E5"/>
    <w:rsid w:val="00904C4E"/>
    <w:rsid w:val="00905BA9"/>
    <w:rsid w:val="009107B1"/>
    <w:rsid w:val="00915827"/>
    <w:rsid w:val="009159BD"/>
    <w:rsid w:val="0092115C"/>
    <w:rsid w:val="009221D4"/>
    <w:rsid w:val="009251BF"/>
    <w:rsid w:val="0092742D"/>
    <w:rsid w:val="009337A1"/>
    <w:rsid w:val="00943E63"/>
    <w:rsid w:val="009525E6"/>
    <w:rsid w:val="009547D8"/>
    <w:rsid w:val="00960FA2"/>
    <w:rsid w:val="00963D74"/>
    <w:rsid w:val="00971308"/>
    <w:rsid w:val="00971FAA"/>
    <w:rsid w:val="009729EB"/>
    <w:rsid w:val="00976B0B"/>
    <w:rsid w:val="00980534"/>
    <w:rsid w:val="009851E9"/>
    <w:rsid w:val="00990184"/>
    <w:rsid w:val="00996494"/>
    <w:rsid w:val="00997089"/>
    <w:rsid w:val="009A2F29"/>
    <w:rsid w:val="009A68B7"/>
    <w:rsid w:val="009B0716"/>
    <w:rsid w:val="009B0828"/>
    <w:rsid w:val="009D0111"/>
    <w:rsid w:val="009D2E4A"/>
    <w:rsid w:val="009D4DF3"/>
    <w:rsid w:val="009D6AEA"/>
    <w:rsid w:val="009E5D20"/>
    <w:rsid w:val="009F70C1"/>
    <w:rsid w:val="00A01FFC"/>
    <w:rsid w:val="00A02B78"/>
    <w:rsid w:val="00A06732"/>
    <w:rsid w:val="00A075DC"/>
    <w:rsid w:val="00A162A4"/>
    <w:rsid w:val="00A21B32"/>
    <w:rsid w:val="00A27A9E"/>
    <w:rsid w:val="00A3128A"/>
    <w:rsid w:val="00A3431E"/>
    <w:rsid w:val="00A36504"/>
    <w:rsid w:val="00A36E94"/>
    <w:rsid w:val="00A54A64"/>
    <w:rsid w:val="00A57E11"/>
    <w:rsid w:val="00A6172C"/>
    <w:rsid w:val="00A72190"/>
    <w:rsid w:val="00A82DD5"/>
    <w:rsid w:val="00A95E03"/>
    <w:rsid w:val="00A96F99"/>
    <w:rsid w:val="00A9774F"/>
    <w:rsid w:val="00AA2236"/>
    <w:rsid w:val="00AA5067"/>
    <w:rsid w:val="00AA7EED"/>
    <w:rsid w:val="00AB0A8F"/>
    <w:rsid w:val="00AB46C9"/>
    <w:rsid w:val="00AB5FF3"/>
    <w:rsid w:val="00AC6BEF"/>
    <w:rsid w:val="00AD738E"/>
    <w:rsid w:val="00AE0C80"/>
    <w:rsid w:val="00AE424E"/>
    <w:rsid w:val="00AE456E"/>
    <w:rsid w:val="00AF5360"/>
    <w:rsid w:val="00AF555C"/>
    <w:rsid w:val="00B049A2"/>
    <w:rsid w:val="00B04D97"/>
    <w:rsid w:val="00B060D7"/>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1C68"/>
    <w:rsid w:val="00B7558F"/>
    <w:rsid w:val="00B80C47"/>
    <w:rsid w:val="00B85622"/>
    <w:rsid w:val="00B87597"/>
    <w:rsid w:val="00B92DA1"/>
    <w:rsid w:val="00B936F4"/>
    <w:rsid w:val="00B96282"/>
    <w:rsid w:val="00BA1A5D"/>
    <w:rsid w:val="00BA2D58"/>
    <w:rsid w:val="00BB0207"/>
    <w:rsid w:val="00BB0D6F"/>
    <w:rsid w:val="00BB7272"/>
    <w:rsid w:val="00BC12F1"/>
    <w:rsid w:val="00BC30B4"/>
    <w:rsid w:val="00BD0C81"/>
    <w:rsid w:val="00BD0F6A"/>
    <w:rsid w:val="00BD23AB"/>
    <w:rsid w:val="00BD4DFE"/>
    <w:rsid w:val="00BD5378"/>
    <w:rsid w:val="00BE2381"/>
    <w:rsid w:val="00BF089A"/>
    <w:rsid w:val="00BF6E5A"/>
    <w:rsid w:val="00C01B8E"/>
    <w:rsid w:val="00C03BA3"/>
    <w:rsid w:val="00C177A1"/>
    <w:rsid w:val="00C23CBC"/>
    <w:rsid w:val="00C3146E"/>
    <w:rsid w:val="00C34FB5"/>
    <w:rsid w:val="00C45534"/>
    <w:rsid w:val="00C467BB"/>
    <w:rsid w:val="00C60714"/>
    <w:rsid w:val="00C611EF"/>
    <w:rsid w:val="00C62D1D"/>
    <w:rsid w:val="00C6603C"/>
    <w:rsid w:val="00C6614B"/>
    <w:rsid w:val="00C7086B"/>
    <w:rsid w:val="00C711C5"/>
    <w:rsid w:val="00C80F5A"/>
    <w:rsid w:val="00C83A90"/>
    <w:rsid w:val="00C860C0"/>
    <w:rsid w:val="00C96D0C"/>
    <w:rsid w:val="00CA0670"/>
    <w:rsid w:val="00CA1B69"/>
    <w:rsid w:val="00CA27C1"/>
    <w:rsid w:val="00CA337B"/>
    <w:rsid w:val="00CA3570"/>
    <w:rsid w:val="00CA6AA9"/>
    <w:rsid w:val="00CB78B3"/>
    <w:rsid w:val="00CC22D1"/>
    <w:rsid w:val="00CC3952"/>
    <w:rsid w:val="00CC6888"/>
    <w:rsid w:val="00CE0C81"/>
    <w:rsid w:val="00CE2F7F"/>
    <w:rsid w:val="00CE7B4E"/>
    <w:rsid w:val="00CF0E78"/>
    <w:rsid w:val="00CF2237"/>
    <w:rsid w:val="00CF3FED"/>
    <w:rsid w:val="00CF4835"/>
    <w:rsid w:val="00CF79D5"/>
    <w:rsid w:val="00D016DF"/>
    <w:rsid w:val="00D0267E"/>
    <w:rsid w:val="00D05C45"/>
    <w:rsid w:val="00D13618"/>
    <w:rsid w:val="00D1794C"/>
    <w:rsid w:val="00D17C9F"/>
    <w:rsid w:val="00D23CD2"/>
    <w:rsid w:val="00D24449"/>
    <w:rsid w:val="00D34369"/>
    <w:rsid w:val="00D34E65"/>
    <w:rsid w:val="00D37471"/>
    <w:rsid w:val="00D458CB"/>
    <w:rsid w:val="00D57B7E"/>
    <w:rsid w:val="00D65BE7"/>
    <w:rsid w:val="00D72452"/>
    <w:rsid w:val="00D75AA6"/>
    <w:rsid w:val="00D82D36"/>
    <w:rsid w:val="00D85844"/>
    <w:rsid w:val="00D90766"/>
    <w:rsid w:val="00D928F1"/>
    <w:rsid w:val="00D93395"/>
    <w:rsid w:val="00D94AD1"/>
    <w:rsid w:val="00DA54BE"/>
    <w:rsid w:val="00DA657D"/>
    <w:rsid w:val="00DA6CB9"/>
    <w:rsid w:val="00DA765A"/>
    <w:rsid w:val="00DB274B"/>
    <w:rsid w:val="00DC25AF"/>
    <w:rsid w:val="00DD046D"/>
    <w:rsid w:val="00DD1F05"/>
    <w:rsid w:val="00DD3496"/>
    <w:rsid w:val="00DE00CD"/>
    <w:rsid w:val="00DE1538"/>
    <w:rsid w:val="00DF060F"/>
    <w:rsid w:val="00DF682F"/>
    <w:rsid w:val="00DF6CEB"/>
    <w:rsid w:val="00E05838"/>
    <w:rsid w:val="00E23907"/>
    <w:rsid w:val="00E30C49"/>
    <w:rsid w:val="00E31BF3"/>
    <w:rsid w:val="00E35BCC"/>
    <w:rsid w:val="00E3718C"/>
    <w:rsid w:val="00E401EF"/>
    <w:rsid w:val="00E40F8E"/>
    <w:rsid w:val="00E556A3"/>
    <w:rsid w:val="00E56D13"/>
    <w:rsid w:val="00E63C93"/>
    <w:rsid w:val="00E644F6"/>
    <w:rsid w:val="00E65DB0"/>
    <w:rsid w:val="00E75033"/>
    <w:rsid w:val="00E841E0"/>
    <w:rsid w:val="00E8710C"/>
    <w:rsid w:val="00E87AAA"/>
    <w:rsid w:val="00E92086"/>
    <w:rsid w:val="00E9311B"/>
    <w:rsid w:val="00E96175"/>
    <w:rsid w:val="00EA0131"/>
    <w:rsid w:val="00EA2E6E"/>
    <w:rsid w:val="00EA5C67"/>
    <w:rsid w:val="00EB258D"/>
    <w:rsid w:val="00EB3EEF"/>
    <w:rsid w:val="00EB3FAC"/>
    <w:rsid w:val="00EB4062"/>
    <w:rsid w:val="00EB5326"/>
    <w:rsid w:val="00EC178B"/>
    <w:rsid w:val="00EC6135"/>
    <w:rsid w:val="00ED47BF"/>
    <w:rsid w:val="00ED4911"/>
    <w:rsid w:val="00EE0320"/>
    <w:rsid w:val="00EE54DA"/>
    <w:rsid w:val="00EE621B"/>
    <w:rsid w:val="00EE7EFB"/>
    <w:rsid w:val="00EF47C3"/>
    <w:rsid w:val="00F04CFF"/>
    <w:rsid w:val="00F079F7"/>
    <w:rsid w:val="00F1378D"/>
    <w:rsid w:val="00F20157"/>
    <w:rsid w:val="00F230EA"/>
    <w:rsid w:val="00F33E0B"/>
    <w:rsid w:val="00F35C12"/>
    <w:rsid w:val="00F37186"/>
    <w:rsid w:val="00F37970"/>
    <w:rsid w:val="00F47176"/>
    <w:rsid w:val="00F5250B"/>
    <w:rsid w:val="00F55A8F"/>
    <w:rsid w:val="00F570EC"/>
    <w:rsid w:val="00F6144E"/>
    <w:rsid w:val="00F63F8C"/>
    <w:rsid w:val="00F70414"/>
    <w:rsid w:val="00F75C9F"/>
    <w:rsid w:val="00F869E0"/>
    <w:rsid w:val="00F905EC"/>
    <w:rsid w:val="00F95A7C"/>
    <w:rsid w:val="00F969F2"/>
    <w:rsid w:val="00FA2CB9"/>
    <w:rsid w:val="00FA2FFC"/>
    <w:rsid w:val="00FB1FD5"/>
    <w:rsid w:val="00FB7BC5"/>
    <w:rsid w:val="00FC2AA3"/>
    <w:rsid w:val="00FC32D4"/>
    <w:rsid w:val="00FC69CA"/>
    <w:rsid w:val="00FD12F5"/>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2CB784"/>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24449"/>
  </w:style>
  <w:style w:type="paragraph" w:styleId="Nagwek1">
    <w:name w:val="heading 1"/>
    <w:basedOn w:val="Normalny"/>
    <w:next w:val="Normalny"/>
    <w:link w:val="Nagwek1Znak"/>
    <w:rsid w:val="005973A1"/>
    <w:pPr>
      <w:keepNext/>
      <w:spacing w:after="0" w:line="240" w:lineRule="auto"/>
      <w:jc w:val="right"/>
      <w:outlineLvl w:val="0"/>
    </w:pPr>
    <w:rPr>
      <w:rFonts w:ascii="Arial" w:hAnsi="Arial" w:cs="Times New Roman"/>
      <w:b/>
      <w:bCs/>
      <w:caps/>
      <w:color w:val="000000"/>
      <w:sz w:val="20"/>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rsid w:val="00B1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1924975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DC12-D45C-4CB5-8BD0-225F3A61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Prologis</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PR Team Manager</cp:lastModifiedBy>
  <cp:revision>4</cp:revision>
  <cp:lastPrinted>2017-04-10T23:02:00Z</cp:lastPrinted>
  <dcterms:created xsi:type="dcterms:W3CDTF">2017-05-30T14:03:00Z</dcterms:created>
  <dcterms:modified xsi:type="dcterms:W3CDTF">2017-05-31T07:20:00Z</dcterms:modified>
</cp:coreProperties>
</file>