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B6135F" w:rsidRDefault="00C51E24">
      <w:pPr>
        <w:rPr>
          <w:lang w:val="pl-PL"/>
        </w:rPr>
      </w:pPr>
      <w:r w:rsidRPr="00B6135F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29A20AEB" wp14:editId="4889B4B5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B6135F" w:rsidRDefault="006C611B">
      <w:pPr>
        <w:rPr>
          <w:lang w:val="pl-PL"/>
        </w:rPr>
      </w:pPr>
    </w:p>
    <w:p w:rsidR="006C611B" w:rsidRPr="00B6135F" w:rsidRDefault="006C611B" w:rsidP="006C611B">
      <w:pPr>
        <w:jc w:val="right"/>
        <w:rPr>
          <w:lang w:val="pl-PL"/>
        </w:rPr>
      </w:pPr>
    </w:p>
    <w:p w:rsidR="00C51E24" w:rsidRPr="00B6135F" w:rsidRDefault="00C51E24" w:rsidP="006C611B">
      <w:pPr>
        <w:jc w:val="right"/>
        <w:rPr>
          <w:lang w:val="pl-PL"/>
        </w:rPr>
      </w:pPr>
    </w:p>
    <w:p w:rsidR="00C51E24" w:rsidRPr="00B6135F" w:rsidRDefault="00C51E24" w:rsidP="006C611B">
      <w:pPr>
        <w:jc w:val="right"/>
        <w:rPr>
          <w:lang w:val="pl-PL"/>
        </w:rPr>
      </w:pPr>
    </w:p>
    <w:p w:rsidR="00C51E24" w:rsidRPr="00B6135F" w:rsidRDefault="00C51E24" w:rsidP="006C611B">
      <w:pPr>
        <w:jc w:val="right"/>
        <w:rPr>
          <w:lang w:val="pl-PL"/>
        </w:rPr>
      </w:pPr>
    </w:p>
    <w:p w:rsidR="00956992" w:rsidRPr="00B6135F" w:rsidRDefault="00956992" w:rsidP="00956992">
      <w:pPr>
        <w:rPr>
          <w:sz w:val="10"/>
          <w:szCs w:val="10"/>
          <w:lang w:val="pl-PL"/>
        </w:rPr>
      </w:pPr>
    </w:p>
    <w:p w:rsidR="00355C00" w:rsidRPr="00B6135F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B6135F" w:rsidRPr="00B6135F" w:rsidRDefault="00B6135F" w:rsidP="00B6135F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B6135F">
        <w:rPr>
          <w:rFonts w:ascii="Tahoma" w:hAnsi="Tahoma" w:cs="Tahoma"/>
          <w:sz w:val="16"/>
          <w:szCs w:val="16"/>
          <w:lang w:val="pl-PL"/>
        </w:rPr>
        <w:t>14 czerwca 2016</w:t>
      </w:r>
    </w:p>
    <w:p w:rsidR="00B6135F" w:rsidRPr="00B6135F" w:rsidRDefault="00B6135F" w:rsidP="00B6135F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 w:rsidRPr="00B6135F"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B6135F" w:rsidRPr="00B6135F" w:rsidRDefault="00B6135F" w:rsidP="00B6135F">
      <w:pPr>
        <w:spacing w:after="0"/>
        <w:jc w:val="right"/>
        <w:rPr>
          <w:rFonts w:ascii="Tahoma" w:hAnsi="Tahoma" w:cs="Tahoma"/>
          <w:sz w:val="20"/>
          <w:szCs w:val="20"/>
          <w:lang w:val="pl-PL"/>
        </w:rPr>
      </w:pPr>
    </w:p>
    <w:p w:rsidR="00B6135F" w:rsidRPr="00B6135F" w:rsidRDefault="00B6135F" w:rsidP="00B6135F">
      <w:pPr>
        <w:spacing w:after="0"/>
        <w:jc w:val="center"/>
        <w:rPr>
          <w:rFonts w:ascii="Tahoma" w:hAnsi="Tahoma" w:cs="Tahoma"/>
          <w:b/>
          <w:sz w:val="30"/>
          <w:szCs w:val="30"/>
          <w:lang w:val="pl-PL"/>
        </w:rPr>
      </w:pPr>
      <w:bookmarkStart w:id="0" w:name="_GoBack"/>
      <w:r w:rsidRPr="00B6135F">
        <w:rPr>
          <w:rFonts w:ascii="Tahoma" w:hAnsi="Tahoma" w:cs="Tahoma"/>
          <w:b/>
          <w:sz w:val="30"/>
          <w:szCs w:val="30"/>
          <w:lang w:val="pl-PL"/>
        </w:rPr>
        <w:t xml:space="preserve">Nowe miejsca przyjazne dzieciom </w:t>
      </w:r>
      <w:r w:rsidRPr="00B6135F">
        <w:rPr>
          <w:rFonts w:ascii="Tahoma" w:hAnsi="Tahoma" w:cs="Tahoma"/>
          <w:b/>
          <w:sz w:val="30"/>
          <w:szCs w:val="30"/>
          <w:lang w:val="pl-PL"/>
        </w:rPr>
        <w:br/>
        <w:t>w województwie dolnośląskim</w:t>
      </w:r>
    </w:p>
    <w:bookmarkEnd w:id="0"/>
    <w:p w:rsidR="00B6135F" w:rsidRPr="00B6135F" w:rsidRDefault="00B6135F" w:rsidP="00B6135F">
      <w:pPr>
        <w:spacing w:after="0"/>
        <w:jc w:val="center"/>
        <w:rPr>
          <w:rFonts w:ascii="Tahoma" w:hAnsi="Tahoma" w:cs="Tahoma"/>
          <w:b/>
          <w:sz w:val="16"/>
          <w:szCs w:val="16"/>
          <w:lang w:val="pl-PL"/>
        </w:rPr>
      </w:pPr>
    </w:p>
    <w:p w:rsidR="00B6135F" w:rsidRPr="00B6135F" w:rsidRDefault="00B6135F" w:rsidP="00B6135F">
      <w:pPr>
        <w:spacing w:after="0"/>
        <w:jc w:val="center"/>
        <w:rPr>
          <w:b/>
          <w:lang w:val="pl-PL"/>
        </w:rPr>
      </w:pPr>
      <w:r w:rsidRPr="00B6135F">
        <w:rPr>
          <w:rFonts w:ascii="Tahoma" w:hAnsi="Tahoma" w:cs="Tahoma"/>
          <w:b/>
          <w:lang w:val="pl-PL"/>
        </w:rPr>
        <w:t xml:space="preserve">Fundacja </w:t>
      </w:r>
      <w:proofErr w:type="spellStart"/>
      <w:r w:rsidRPr="00B6135F">
        <w:rPr>
          <w:rFonts w:ascii="Tahoma" w:hAnsi="Tahoma" w:cs="Tahoma"/>
          <w:b/>
          <w:lang w:val="pl-PL"/>
        </w:rPr>
        <w:t>Aviva</w:t>
      </w:r>
      <w:proofErr w:type="spellEnd"/>
      <w:r w:rsidRPr="00B6135F">
        <w:rPr>
          <w:rFonts w:ascii="Tahoma" w:hAnsi="Tahoma" w:cs="Tahoma"/>
          <w:b/>
          <w:lang w:val="pl-PL"/>
        </w:rPr>
        <w:t xml:space="preserve"> ogłasza wyniki 4. edycji konkursu „To dla mnie ważne”. Dzięki grantowi w wysokości 33 000 zł Stowarzyszenie Aktywiści Społecznej Integracji „Bez Balastu” z Radwanic już niedługo uruchomi mobilną świetlicę.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b/>
          <w:lang w:val="pl-PL"/>
        </w:rPr>
      </w:pPr>
      <w:r w:rsidRPr="00B6135F">
        <w:rPr>
          <w:rFonts w:ascii="Tahoma" w:hAnsi="Tahoma" w:cs="Tahoma"/>
          <w:b/>
          <w:sz w:val="20"/>
          <w:szCs w:val="20"/>
          <w:lang w:val="pl-PL"/>
        </w:rPr>
        <w:t xml:space="preserve">Konkurs grantowy „To dla mnie ważne” ponownie udowodnił, jak mocno wspólny cel – spełnianie marzeń najmłodszych, jednoczy lokalne społeczności. Dzisiaj poznaliśmy dziesięciu laureatów, których pomysły już wkrótce zostaną zrealizowane. Jury Fundacji </w:t>
      </w:r>
      <w:proofErr w:type="spellStart"/>
      <w:r w:rsidRPr="00B6135F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B6135F">
        <w:rPr>
          <w:rFonts w:ascii="Tahoma" w:hAnsi="Tahoma" w:cs="Tahoma"/>
          <w:b/>
          <w:sz w:val="20"/>
          <w:szCs w:val="20"/>
          <w:lang w:val="pl-PL"/>
        </w:rPr>
        <w:t xml:space="preserve"> postanowiło przekazać grant projektowi z województwa dolnośląskiego, którego założeniem jest aktywizacja lokalnej społeczności w Radwanicach. 33 000 zł pozwoli stworzyć mobilną świetlicę z ofertą zajęć dla rodzin.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B6135F">
        <w:rPr>
          <w:rFonts w:ascii="Tahoma" w:hAnsi="Tahoma" w:cs="Tahoma"/>
          <w:b/>
          <w:sz w:val="20"/>
          <w:szCs w:val="20"/>
          <w:lang w:val="pl-PL"/>
        </w:rPr>
        <w:t>Spełniamy dziecięce marzenia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B6135F">
        <w:rPr>
          <w:rFonts w:ascii="Tahoma" w:hAnsi="Tahoma" w:cs="Tahoma"/>
          <w:sz w:val="20"/>
          <w:szCs w:val="20"/>
          <w:lang w:val="pl-PL"/>
        </w:rPr>
        <w:t xml:space="preserve">Po raz czwarty jury konkursu grantowego Fundacji </w:t>
      </w:r>
      <w:proofErr w:type="spellStart"/>
      <w:r w:rsidRPr="00B6135F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B6135F">
        <w:rPr>
          <w:rFonts w:ascii="Tahoma" w:hAnsi="Tahoma" w:cs="Tahoma"/>
          <w:sz w:val="20"/>
          <w:szCs w:val="20"/>
          <w:lang w:val="pl-PL"/>
        </w:rPr>
        <w:t xml:space="preserve"> z udziałem </w:t>
      </w:r>
      <w:r>
        <w:rPr>
          <w:rFonts w:ascii="Tahoma" w:hAnsi="Tahoma" w:cs="Tahoma"/>
          <w:sz w:val="20"/>
          <w:szCs w:val="20"/>
          <w:lang w:val="pl-PL"/>
        </w:rPr>
        <w:t xml:space="preserve">m.in. Małgorzaty Kożuchowskiej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B6135F">
        <w:rPr>
          <w:rFonts w:ascii="Tahoma" w:hAnsi="Tahoma" w:cs="Tahoma"/>
          <w:sz w:val="20"/>
          <w:szCs w:val="20"/>
          <w:lang w:val="pl-PL"/>
        </w:rPr>
        <w:t xml:space="preserve">i Jaśka </w:t>
      </w:r>
      <w:proofErr w:type="spellStart"/>
      <w:r w:rsidRPr="00B6135F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B6135F">
        <w:rPr>
          <w:rFonts w:ascii="Tahoma" w:hAnsi="Tahoma" w:cs="Tahoma"/>
          <w:sz w:val="20"/>
          <w:szCs w:val="20"/>
          <w:lang w:val="pl-PL"/>
        </w:rPr>
        <w:t xml:space="preserve">, stanęło przed niezwykle trudnym zadaniem. Spośród 20 finałowych inicjatyw, </w:t>
      </w:r>
      <w:r w:rsidRPr="00B6135F">
        <w:rPr>
          <w:rFonts w:ascii="Tahoma" w:hAnsi="Tahoma" w:cs="Tahoma"/>
          <w:sz w:val="20"/>
          <w:szCs w:val="20"/>
          <w:lang w:val="pl-PL"/>
        </w:rPr>
        <w:br/>
        <w:t xml:space="preserve">które zdobyły najwięcej głosów w internetowym plebiscycie, </w:t>
      </w:r>
      <w:r w:rsidRPr="00B6135F">
        <w:rPr>
          <w:rFonts w:ascii="Tahoma" w:hAnsi="Tahoma" w:cs="Tahoma"/>
          <w:b/>
          <w:sz w:val="20"/>
          <w:szCs w:val="20"/>
          <w:lang w:val="pl-PL"/>
        </w:rPr>
        <w:t>wyłoniło 10 laureatów z ośmiu województw. To wśród nich rozdzielono pulę grantów o łącznej wartości 225 tysięcy złotych</w:t>
      </w:r>
      <w:r w:rsidRPr="00B6135F">
        <w:rPr>
          <w:rFonts w:ascii="Tahoma" w:hAnsi="Tahoma" w:cs="Tahoma"/>
          <w:sz w:val="20"/>
          <w:szCs w:val="20"/>
          <w:lang w:val="pl-PL"/>
        </w:rPr>
        <w:t>. Środki zostaną przeznaczone na sfinansowanie proje</w:t>
      </w:r>
      <w:r>
        <w:rPr>
          <w:rFonts w:ascii="Tahoma" w:hAnsi="Tahoma" w:cs="Tahoma"/>
          <w:sz w:val="20"/>
          <w:szCs w:val="20"/>
          <w:lang w:val="pl-PL"/>
        </w:rPr>
        <w:t xml:space="preserve">któw dedykowanych dzieciom </w:t>
      </w:r>
      <w:r w:rsidRPr="00B6135F">
        <w:rPr>
          <w:rFonts w:ascii="Tahoma" w:hAnsi="Tahoma" w:cs="Tahoma"/>
          <w:sz w:val="20"/>
          <w:szCs w:val="20"/>
          <w:lang w:val="pl-PL"/>
        </w:rPr>
        <w:t xml:space="preserve">do 13. roku życia i ich rodzicom. 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proofErr w:type="spellStart"/>
      <w:r w:rsidRPr="00B6135F">
        <w:rPr>
          <w:rFonts w:ascii="Tahoma" w:hAnsi="Tahoma" w:cs="Tahoma"/>
          <w:b/>
          <w:sz w:val="20"/>
          <w:szCs w:val="20"/>
          <w:lang w:val="pl-PL"/>
        </w:rPr>
        <w:t>PARKujemy</w:t>
      </w:r>
      <w:proofErr w:type="spellEnd"/>
      <w:r w:rsidRPr="00B6135F">
        <w:rPr>
          <w:rFonts w:ascii="Tahoma" w:hAnsi="Tahoma" w:cs="Tahoma"/>
          <w:b/>
          <w:sz w:val="20"/>
          <w:szCs w:val="20"/>
          <w:lang w:val="pl-PL"/>
        </w:rPr>
        <w:t xml:space="preserve"> – mobilna świetlica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B6135F">
        <w:rPr>
          <w:rFonts w:ascii="Tahoma" w:hAnsi="Tahoma" w:cs="Tahoma"/>
          <w:sz w:val="20"/>
          <w:szCs w:val="20"/>
          <w:lang w:val="pl-PL"/>
        </w:rPr>
        <w:t xml:space="preserve">Fundacja </w:t>
      </w:r>
      <w:proofErr w:type="spellStart"/>
      <w:r w:rsidRPr="00B6135F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B6135F">
        <w:rPr>
          <w:rFonts w:ascii="Tahoma" w:hAnsi="Tahoma" w:cs="Tahoma"/>
          <w:sz w:val="20"/>
          <w:szCs w:val="20"/>
          <w:lang w:val="pl-PL"/>
        </w:rPr>
        <w:t xml:space="preserve"> już po raz drugi wsparła finansowo Radwanice, które były laureatem 2. edycji konkursu. Sukces „Tlenowych Witamin” sprawił, że mieszkańcy ponownie zintegrowali się we wspólnym celu, co zaowocowało tegoroczną wygraną w konkursie „To dla mnie ważne”. W tym roku </w:t>
      </w:r>
      <w:r w:rsidRPr="00B6135F">
        <w:rPr>
          <w:rFonts w:ascii="Tahoma" w:hAnsi="Tahoma" w:cs="Tahoma"/>
          <w:b/>
          <w:sz w:val="20"/>
          <w:szCs w:val="20"/>
          <w:lang w:val="pl-PL"/>
        </w:rPr>
        <w:t>Stowarzyszenie Aktywiści Społecznej Integracji „Bez Balastu” z Radwanic otrzymało grant w wysokości 33 000 zł</w:t>
      </w:r>
      <w:r w:rsidRPr="00B6135F">
        <w:rPr>
          <w:rFonts w:ascii="Tahoma" w:hAnsi="Tahoma" w:cs="Tahoma"/>
          <w:sz w:val="20"/>
          <w:szCs w:val="20"/>
          <w:lang w:val="pl-PL"/>
        </w:rPr>
        <w:t xml:space="preserve">, który umożliwi stworzenie </w:t>
      </w:r>
      <w:r w:rsidRPr="00B6135F"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  <w:t xml:space="preserve">mobilnej świetlicy. Pomysł stawia na połączenie integracji i edukacji w plenerze. Z zajęć będą mogły korzystać dzieci, które w najbliższej okolicy nie mają do dyspozycji żadnej świetlicy bądź domu kultury, gdzie mogłyby w kreatywny sposób spędzać wolny czas. </w:t>
      </w:r>
      <w:r w:rsidRPr="00B6135F">
        <w:rPr>
          <w:rFonts w:ascii="Tahoma" w:hAnsi="Tahoma" w:cs="Tahoma"/>
          <w:sz w:val="20"/>
          <w:szCs w:val="20"/>
          <w:lang w:val="pl-PL"/>
        </w:rPr>
        <w:t>Wniosek zebrał ponad 6 800 głosów w internetowym plebiscycie.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B6135F">
        <w:rPr>
          <w:rFonts w:ascii="Tahoma" w:hAnsi="Tahoma" w:cs="Tahoma"/>
          <w:sz w:val="20"/>
          <w:szCs w:val="20"/>
          <w:lang w:val="pl-PL"/>
        </w:rPr>
        <w:lastRenderedPageBreak/>
        <w:t xml:space="preserve">W tym roku Fundacja </w:t>
      </w:r>
      <w:proofErr w:type="spellStart"/>
      <w:r w:rsidRPr="00B6135F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B6135F">
        <w:rPr>
          <w:rFonts w:ascii="Tahoma" w:hAnsi="Tahoma" w:cs="Tahoma"/>
          <w:sz w:val="20"/>
          <w:szCs w:val="20"/>
          <w:lang w:val="pl-PL"/>
        </w:rPr>
        <w:t xml:space="preserve"> przyznała granty inicjatywom z ośmiu województw. Umożliwią one m.in. otwarcie specjalistycznej pracowni dostosowanej do terapii </w:t>
      </w:r>
      <w:proofErr w:type="spellStart"/>
      <w:r w:rsidRPr="00B6135F">
        <w:rPr>
          <w:rFonts w:ascii="Tahoma" w:hAnsi="Tahoma" w:cs="Tahoma"/>
          <w:sz w:val="20"/>
          <w:szCs w:val="20"/>
          <w:lang w:val="pl-PL"/>
        </w:rPr>
        <w:t>polisensorycznej</w:t>
      </w:r>
      <w:proofErr w:type="spellEnd"/>
      <w:r w:rsidRPr="00B6135F">
        <w:rPr>
          <w:rFonts w:ascii="Tahoma" w:hAnsi="Tahoma" w:cs="Tahoma"/>
          <w:sz w:val="20"/>
          <w:szCs w:val="20"/>
          <w:lang w:val="pl-PL"/>
        </w:rPr>
        <w:t xml:space="preserve">, zakup sprzętu </w:t>
      </w:r>
      <w:r w:rsidRPr="00B6135F">
        <w:rPr>
          <w:rFonts w:ascii="Tahoma" w:hAnsi="Tahoma" w:cs="Tahoma"/>
          <w:sz w:val="20"/>
          <w:szCs w:val="20"/>
          <w:lang w:val="pl-PL"/>
        </w:rPr>
        <w:br/>
        <w:t>oraz organizację zajęć z szermierki czy stworzenie bezpiecznego boiska sportowego. Sfinansowany będzie również tematyczny plac zabaw „Miasteczko Strażackie”, ogrody dedykowane terapii i edukacji, a także kreatywna strefa gier chodnikowych.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B6135F">
        <w:rPr>
          <w:rFonts w:ascii="Tahoma" w:hAnsi="Tahoma" w:cs="Tahoma"/>
          <w:b/>
          <w:sz w:val="20"/>
          <w:szCs w:val="20"/>
          <w:lang w:val="pl-PL"/>
        </w:rPr>
        <w:t>Razem możemy więcej</w:t>
      </w:r>
    </w:p>
    <w:p w:rsidR="00B6135F" w:rsidRPr="00B6135F" w:rsidRDefault="00B6135F" w:rsidP="00B6135F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B6135F">
        <w:rPr>
          <w:rFonts w:ascii="Arial" w:hAnsi="Arial" w:cs="Arial"/>
          <w:sz w:val="20"/>
          <w:szCs w:val="20"/>
          <w:lang w:val="pl-PL"/>
        </w:rPr>
        <w:t xml:space="preserve">Ponadto, w ramach konkursu, </w:t>
      </w:r>
      <w:r w:rsidRPr="00B6135F">
        <w:rPr>
          <w:rFonts w:ascii="Arial" w:hAnsi="Arial" w:cs="Arial"/>
          <w:b/>
          <w:sz w:val="20"/>
          <w:szCs w:val="20"/>
          <w:lang w:val="pl-PL"/>
        </w:rPr>
        <w:t xml:space="preserve">71 inicjatyw zdecydowało </w:t>
      </w:r>
      <w:r w:rsidRPr="00B6135F">
        <w:rPr>
          <w:rFonts w:ascii="Tahoma" w:hAnsi="Tahoma" w:cs="Tahoma"/>
          <w:b/>
          <w:sz w:val="20"/>
          <w:szCs w:val="20"/>
          <w:lang w:val="pl-PL"/>
        </w:rPr>
        <w:t>się skorzystać z dodatkowej formy wsparcia poprzez finansowanie społecznościowe, czyli crowdfunding. Dzięki temu dotychczas zebrały niemal 28 500 zł od ponad 2 540 wspierających</w:t>
      </w:r>
      <w:r w:rsidRPr="00B6135F">
        <w:rPr>
          <w:rFonts w:ascii="Tahoma" w:hAnsi="Tahoma" w:cs="Tahoma"/>
          <w:sz w:val="20"/>
          <w:szCs w:val="20"/>
          <w:lang w:val="pl-PL"/>
        </w:rPr>
        <w:t xml:space="preserve">. Na stronie </w:t>
      </w:r>
      <w:hyperlink r:id="rId10" w:history="1">
        <w:r w:rsidRPr="00B6135F">
          <w:rPr>
            <w:rStyle w:val="Hipercze"/>
            <w:rFonts w:ascii="Tahoma" w:hAnsi="Tahoma" w:cs="Tahoma"/>
            <w:sz w:val="20"/>
            <w:szCs w:val="20"/>
            <w:lang w:val="pl-PL"/>
          </w:rPr>
          <w:t>www.todlamniewazne.pl</w:t>
        </w:r>
      </w:hyperlink>
      <w:r w:rsidRPr="00B6135F">
        <w:rPr>
          <w:rFonts w:ascii="Arial" w:hAnsi="Arial" w:cs="Arial"/>
          <w:sz w:val="20"/>
          <w:szCs w:val="20"/>
          <w:lang w:val="pl-PL"/>
        </w:rPr>
        <w:t xml:space="preserve"> jeszcze do jutra (15 czerwca) można wesprze</w:t>
      </w:r>
      <w:r>
        <w:rPr>
          <w:rFonts w:ascii="Arial" w:hAnsi="Arial" w:cs="Arial"/>
          <w:sz w:val="20"/>
          <w:szCs w:val="20"/>
          <w:lang w:val="pl-PL"/>
        </w:rPr>
        <w:t xml:space="preserve">ć projekt bliski naszemu sercu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B6135F">
        <w:rPr>
          <w:rFonts w:ascii="Arial" w:hAnsi="Arial" w:cs="Arial"/>
          <w:sz w:val="20"/>
          <w:szCs w:val="20"/>
          <w:lang w:val="pl-PL"/>
        </w:rPr>
        <w:t>i przekazać online dowolną kwotę, minimum 5 zł. Akcję dodatkowo wspiera BLIK, który do każdej wpłaty o wartości min. 10 zł dołoży 10 zł.</w:t>
      </w:r>
    </w:p>
    <w:p w:rsidR="00B6135F" w:rsidRPr="00B6135F" w:rsidRDefault="00B6135F" w:rsidP="00B6135F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B6135F" w:rsidRPr="00B6135F" w:rsidRDefault="00B6135F" w:rsidP="00B6135F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rStyle w:val="Pogrubienie"/>
          <w:b w:val="0"/>
          <w:sz w:val="18"/>
          <w:szCs w:val="18"/>
          <w:bdr w:val="none" w:sz="0" w:space="0" w:color="auto" w:frame="1"/>
        </w:rPr>
      </w:pPr>
    </w:p>
    <w:p w:rsidR="00B6135F" w:rsidRPr="00B6135F" w:rsidRDefault="00B6135F" w:rsidP="00B6135F">
      <w:pPr>
        <w:pStyle w:val="NormalnyWeb"/>
        <w:shd w:val="clear" w:color="auto" w:fill="FEFEFE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W 2014 roku Fundacja </w:t>
      </w:r>
      <w:proofErr w:type="spellStart"/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Aviva</w:t>
      </w:r>
      <w:proofErr w:type="spellEnd"/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 uruchomiła konkurs grantowy „To dla mnie ważne”, którego celem jest wspieranie lokalnych inicjatyw społecznych dla dobra dzieci w wieku do 13. roku życia i ich rodziców. Wnioski oceniło jury w składzie: Małgorzata Kożuchowska</w:t>
      </w:r>
      <w:r w:rsidRPr="00B6135F">
        <w:rPr>
          <w:rFonts w:ascii="Tahoma" w:hAnsi="Tahoma" w:cs="Tahoma"/>
          <w:sz w:val="20"/>
          <w:szCs w:val="20"/>
        </w:rPr>
        <w:t>, aktorka teatralna, filmowa i telewizyjna, aktywnie działająca na rzecz potrzebujących;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dr Aleksandra Piotrowska</w:t>
      </w:r>
      <w:r w:rsidRPr="00B6135F">
        <w:rPr>
          <w:rFonts w:ascii="Tahoma" w:hAnsi="Tahoma" w:cs="Tahoma"/>
          <w:sz w:val="20"/>
          <w:szCs w:val="20"/>
        </w:rPr>
        <w:t>, psycholog dziecięcy;</w:t>
      </w:r>
      <w:r w:rsidRPr="00B6135F">
        <w:rPr>
          <w:rStyle w:val="apple-converted-space"/>
          <w:rFonts w:ascii="Tahoma" w:hAnsi="Tahoma" w:cs="Tahoma"/>
          <w:b/>
          <w:bCs/>
          <w:sz w:val="20"/>
          <w:szCs w:val="20"/>
          <w:bdr w:val="none" w:sz="0" w:space="0" w:color="auto" w:frame="1"/>
        </w:rPr>
        <w:t> 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Iga Młynarczyk</w:t>
      </w:r>
      <w:r w:rsidRPr="00B6135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6135F">
        <w:rPr>
          <w:rFonts w:ascii="Tahoma" w:hAnsi="Tahoma" w:cs="Tahoma"/>
          <w:sz w:val="20"/>
          <w:szCs w:val="20"/>
        </w:rPr>
        <w:t>blogerka</w:t>
      </w:r>
      <w:proofErr w:type="spellEnd"/>
      <w:r w:rsidRPr="00B6135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135F">
        <w:rPr>
          <w:rFonts w:ascii="Tahoma" w:hAnsi="Tahoma" w:cs="Tahoma"/>
          <w:sz w:val="20"/>
          <w:szCs w:val="20"/>
        </w:rPr>
        <w:t>parentingowa</w:t>
      </w:r>
      <w:proofErr w:type="spellEnd"/>
      <w:r w:rsidRPr="00B6135F">
        <w:rPr>
          <w:rFonts w:ascii="Tahoma" w:hAnsi="Tahoma" w:cs="Tahoma"/>
          <w:sz w:val="20"/>
          <w:szCs w:val="20"/>
        </w:rPr>
        <w:t xml:space="preserve"> angażująca się w akcje społeczne na rzecz dzieci;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 xml:space="preserve">prof. Janusz </w:t>
      </w:r>
      <w:proofErr w:type="spellStart"/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Książyk</w:t>
      </w:r>
      <w:proofErr w:type="spellEnd"/>
      <w:r w:rsidRPr="00B6135F">
        <w:rPr>
          <w:rFonts w:ascii="Tahoma" w:hAnsi="Tahoma" w:cs="Tahoma"/>
          <w:sz w:val="20"/>
          <w:szCs w:val="20"/>
        </w:rPr>
        <w:t>, kierownik Kliniki Pediatrii, Żywienia i Chorób Metabolicznych w Centrum Zdrowia Dziecka w Warszawie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; Paweł Woliński</w:t>
      </w:r>
      <w:r w:rsidRPr="00B6135F">
        <w:rPr>
          <w:rFonts w:ascii="Tahoma" w:hAnsi="Tahoma" w:cs="Tahoma"/>
          <w:sz w:val="20"/>
          <w:szCs w:val="20"/>
        </w:rPr>
        <w:t xml:space="preserve">, prezes Fundacji Mamy </w:t>
      </w:r>
      <w:r>
        <w:rPr>
          <w:rFonts w:ascii="Tahoma" w:hAnsi="Tahoma" w:cs="Tahoma"/>
          <w:sz w:val="20"/>
          <w:szCs w:val="20"/>
        </w:rPr>
        <w:br/>
      </w:r>
      <w:r w:rsidRPr="00B6135F">
        <w:rPr>
          <w:rFonts w:ascii="Tahoma" w:hAnsi="Tahoma" w:cs="Tahoma"/>
          <w:sz w:val="20"/>
          <w:szCs w:val="20"/>
        </w:rPr>
        <w:t>i Taty;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Jacek Olszewski</w:t>
      </w:r>
      <w:r w:rsidRPr="00B6135F">
        <w:rPr>
          <w:rFonts w:ascii="Tahoma" w:hAnsi="Tahoma" w:cs="Tahoma"/>
          <w:sz w:val="20"/>
          <w:szCs w:val="20"/>
        </w:rPr>
        <w:t>, członek zarządu Fundacji Kropla Życia im. Agaty Mróz-Olszewskiej oraz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  <w:r w:rsidRPr="00B6135F">
        <w:rPr>
          <w:rStyle w:val="Pogrubienie"/>
          <w:rFonts w:ascii="Tahoma" w:hAnsi="Tahoma" w:cs="Tahoma"/>
          <w:sz w:val="20"/>
          <w:szCs w:val="20"/>
          <w:bdr w:val="none" w:sz="0" w:space="0" w:color="auto" w:frame="1"/>
        </w:rPr>
        <w:t>Jasiek Mela,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  <w:r w:rsidRPr="00B6135F">
        <w:rPr>
          <w:rFonts w:ascii="Tahoma" w:hAnsi="Tahoma" w:cs="Tahoma"/>
          <w:sz w:val="20"/>
          <w:szCs w:val="20"/>
        </w:rPr>
        <w:t xml:space="preserve">założyciel Fundacji Poza Horyzonty. W jury pracują też </w:t>
      </w:r>
      <w:r w:rsidRPr="00B6135F">
        <w:rPr>
          <w:rFonts w:ascii="Tahoma" w:hAnsi="Tahoma" w:cs="Tahoma"/>
          <w:b/>
          <w:sz w:val="20"/>
          <w:szCs w:val="20"/>
        </w:rPr>
        <w:t>Monika Kulińska</w:t>
      </w:r>
      <w:r w:rsidRPr="00B6135F">
        <w:rPr>
          <w:rFonts w:ascii="Tahoma" w:hAnsi="Tahoma" w:cs="Tahoma"/>
          <w:sz w:val="20"/>
          <w:szCs w:val="20"/>
        </w:rPr>
        <w:t xml:space="preserve"> i </w:t>
      </w:r>
      <w:r w:rsidRPr="00B6135F">
        <w:rPr>
          <w:rFonts w:ascii="Tahoma" w:hAnsi="Tahoma" w:cs="Tahoma"/>
          <w:b/>
          <w:sz w:val="20"/>
          <w:szCs w:val="20"/>
        </w:rPr>
        <w:t>Agnieszka Wieczorek-Nowak</w:t>
      </w:r>
      <w:r w:rsidRPr="00B6135F">
        <w:rPr>
          <w:rFonts w:ascii="Tahoma" w:hAnsi="Tahoma" w:cs="Tahoma"/>
          <w:sz w:val="20"/>
          <w:szCs w:val="20"/>
        </w:rPr>
        <w:t xml:space="preserve"> z zarządu Fundacji </w:t>
      </w:r>
      <w:proofErr w:type="spellStart"/>
      <w:r w:rsidRPr="00B6135F">
        <w:rPr>
          <w:rFonts w:ascii="Tahoma" w:hAnsi="Tahoma" w:cs="Tahoma"/>
          <w:sz w:val="20"/>
          <w:szCs w:val="20"/>
        </w:rPr>
        <w:t>Aviva</w:t>
      </w:r>
      <w:proofErr w:type="spellEnd"/>
      <w:r w:rsidRPr="00B6135F">
        <w:rPr>
          <w:rFonts w:ascii="Tahoma" w:hAnsi="Tahoma" w:cs="Tahoma"/>
          <w:sz w:val="20"/>
          <w:szCs w:val="20"/>
        </w:rPr>
        <w:t>.</w:t>
      </w:r>
      <w:r w:rsidRPr="00B6135F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6135F" w:rsidRPr="00B6135F" w:rsidRDefault="00B6135F" w:rsidP="00B6135F">
      <w:pPr>
        <w:jc w:val="center"/>
        <w:rPr>
          <w:rFonts w:ascii="Tahoma" w:hAnsi="Tahoma" w:cs="Tahoma"/>
          <w:sz w:val="18"/>
          <w:szCs w:val="18"/>
          <w:lang w:val="pl-PL"/>
        </w:rPr>
      </w:pPr>
      <w:r w:rsidRPr="00B6135F">
        <w:rPr>
          <w:rFonts w:ascii="Tahoma" w:hAnsi="Tahoma" w:cs="Tahoma"/>
          <w:sz w:val="18"/>
          <w:szCs w:val="18"/>
          <w:lang w:val="pl-PL"/>
        </w:rPr>
        <w:t>***</w:t>
      </w:r>
    </w:p>
    <w:p w:rsidR="00B6135F" w:rsidRPr="00B6135F" w:rsidRDefault="00B6135F" w:rsidP="00B6135F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B6135F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30 mln klientów w Europie, Azji i Ameryce Północnej. </w:t>
      </w:r>
      <w:proofErr w:type="spellStart"/>
      <w:r w:rsidRPr="00B6135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B6135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w Polsce</w:t>
      </w:r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1" w:history="1">
        <w:r w:rsidRPr="00B6135F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2" w:history="1">
        <w:r w:rsidRPr="00B6135F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B6135F" w:rsidRPr="00B6135F" w:rsidRDefault="00B6135F" w:rsidP="00B6135F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B6135F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B6135F" w:rsidRPr="00B6135F" w:rsidRDefault="00B6135F" w:rsidP="00B6135F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B6135F" w:rsidRPr="00B6135F" w:rsidRDefault="00B6135F" w:rsidP="00B6135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proofErr w:type="spellStart"/>
      <w:r w:rsidRPr="00B6135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Pr="00B6135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:</w:t>
      </w:r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B6135F" w:rsidRPr="00B6135F" w:rsidRDefault="00B6135F" w:rsidP="00B6135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3" w:history="1">
        <w:r w:rsidRPr="00B6135F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B6135F" w:rsidRPr="00B6135F" w:rsidRDefault="00B6135F" w:rsidP="00B6135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4" w:history="1">
        <w:r w:rsidRPr="00B6135F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B6135F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B6135F" w:rsidRPr="00B6135F" w:rsidRDefault="00B6135F" w:rsidP="00B6135F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B6135F" w:rsidRPr="00B6135F" w:rsidRDefault="00B6135F" w:rsidP="00B6135F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B6135F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B6135F" w:rsidRPr="00B6135F" w:rsidRDefault="00B6135F" w:rsidP="00B6135F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B6135F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B6135F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B6135F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B6135F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5" w:history="1">
        <w:r w:rsidRPr="00B6135F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B6135F" w:rsidRPr="00B6135F" w:rsidRDefault="00B6135F" w:rsidP="00B6135F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p w:rsidR="00B6135F" w:rsidRPr="00B6135F" w:rsidRDefault="00B6135F" w:rsidP="00B6135F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D67A9D" w:rsidRPr="00B6135F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B6135F" w:rsidSect="003775F6">
      <w:headerReference w:type="default" r:id="rId16"/>
      <w:footerReference w:type="default" r:id="rId17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C0" w:rsidRDefault="00E14AC0" w:rsidP="0066111C">
      <w:pPr>
        <w:spacing w:after="0" w:line="240" w:lineRule="auto"/>
      </w:pPr>
      <w:r>
        <w:separator/>
      </w:r>
    </w:p>
  </w:endnote>
  <w:endnote w:type="continuationSeparator" w:id="0">
    <w:p w:rsidR="00E14AC0" w:rsidRDefault="00E14AC0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C0" w:rsidRDefault="00E14AC0" w:rsidP="0066111C">
      <w:pPr>
        <w:spacing w:after="0" w:line="240" w:lineRule="auto"/>
      </w:pPr>
      <w:r>
        <w:separator/>
      </w:r>
    </w:p>
  </w:footnote>
  <w:footnote w:type="continuationSeparator" w:id="0">
    <w:p w:rsidR="00E14AC0" w:rsidRDefault="00E14AC0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051AD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B5E5B"/>
    <w:rsid w:val="00AB6920"/>
    <w:rsid w:val="00AC4E08"/>
    <w:rsid w:val="00AC50E0"/>
    <w:rsid w:val="00AD57D6"/>
    <w:rsid w:val="00AD625D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35F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4AC0"/>
    <w:rsid w:val="00E16955"/>
    <w:rsid w:val="00E239DB"/>
    <w:rsid w:val="00E251E1"/>
    <w:rsid w:val="00E26673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uiPriority w:val="99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hdan.bialorucki@aviv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viva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iv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.snitko@lightscape.pl" TargetMode="External"/><Relationship Id="rId10" Type="http://schemas.openxmlformats.org/officeDocument/2006/relationships/hyperlink" Target="http://www.todlamniewazn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magdalena.wrzesinska@avi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35BD-0176-4621-9D75-3495A49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2</cp:revision>
  <cp:lastPrinted>2016-04-01T08:55:00Z</cp:lastPrinted>
  <dcterms:created xsi:type="dcterms:W3CDTF">2016-06-14T09:31:00Z</dcterms:created>
  <dcterms:modified xsi:type="dcterms:W3CDTF">2016-06-14T09:31:00Z</dcterms:modified>
</cp:coreProperties>
</file>