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B" w:rsidRPr="000B66CA" w:rsidRDefault="00CD3D6B" w:rsidP="00DF081E">
      <w:pPr>
        <w:rPr>
          <w:color w:val="4F81BD"/>
          <w:sz w:val="28"/>
          <w:szCs w:val="28"/>
          <w:u w:color="4F81BD"/>
        </w:rPr>
      </w:pPr>
      <w:bookmarkStart w:id="0" w:name="_GoBack"/>
      <w:r w:rsidRPr="000B66CA">
        <w:rPr>
          <w:noProof/>
          <w:color w:val="4F81BD"/>
          <w:sz w:val="28"/>
          <w:szCs w:val="28"/>
          <w:u w:color="4F81BD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4358005</wp:posOffset>
            </wp:positionH>
            <wp:positionV relativeFrom="line">
              <wp:posOffset>0</wp:posOffset>
            </wp:positionV>
            <wp:extent cx="1409700" cy="786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nesulen\AppData\Local\Microsoft\Windows\Temporary Internet Files\Content.Outlook\XV2K2M4I\Medicover_blue_p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3D6B" w:rsidRPr="000B66CA" w:rsidRDefault="00CD3D6B" w:rsidP="00DF081E">
      <w:pPr>
        <w:rPr>
          <w:color w:val="4F81BD"/>
          <w:sz w:val="28"/>
          <w:szCs w:val="28"/>
          <w:u w:color="4F81BD"/>
        </w:rPr>
      </w:pPr>
    </w:p>
    <w:p w:rsidR="00CD3D6B" w:rsidRPr="000B66CA" w:rsidRDefault="00DF081E" w:rsidP="00DF081E">
      <w:pPr>
        <w:spacing w:line="240" w:lineRule="auto"/>
        <w:jc w:val="right"/>
        <w:rPr>
          <w:color w:val="4F81BD"/>
          <w:sz w:val="28"/>
          <w:szCs w:val="28"/>
          <w:u w:color="4F81BD"/>
        </w:rPr>
      </w:pPr>
      <w:r>
        <w:rPr>
          <w:color w:val="4F81BD"/>
          <w:sz w:val="28"/>
          <w:szCs w:val="28"/>
          <w:u w:color="4F81BD"/>
        </w:rPr>
        <w:br/>
      </w:r>
      <w:r w:rsidR="0084141C" w:rsidRPr="00486996">
        <w:rPr>
          <w:color w:val="4F81BD"/>
          <w:sz w:val="28"/>
          <w:szCs w:val="28"/>
          <w:u w:color="4F81BD"/>
        </w:rPr>
        <w:t>Warszawa,</w:t>
      </w:r>
      <w:r w:rsidR="006768F2">
        <w:rPr>
          <w:color w:val="4F81BD"/>
          <w:sz w:val="28"/>
          <w:szCs w:val="28"/>
          <w:u w:color="4F81BD"/>
        </w:rPr>
        <w:t xml:space="preserve"> 16</w:t>
      </w:r>
      <w:r w:rsidR="002C168A">
        <w:rPr>
          <w:color w:val="4F81BD"/>
          <w:sz w:val="28"/>
          <w:szCs w:val="28"/>
          <w:u w:color="4F81BD"/>
        </w:rPr>
        <w:t>.0</w:t>
      </w:r>
      <w:r w:rsidR="00361A23">
        <w:rPr>
          <w:color w:val="4F81BD"/>
          <w:sz w:val="28"/>
          <w:szCs w:val="28"/>
          <w:u w:color="4F81BD"/>
        </w:rPr>
        <w:t>5</w:t>
      </w:r>
      <w:r w:rsidR="00FB02FB" w:rsidRPr="00486996">
        <w:rPr>
          <w:color w:val="4F81BD"/>
          <w:sz w:val="28"/>
          <w:szCs w:val="28"/>
          <w:u w:color="4F81BD"/>
        </w:rPr>
        <w:t>.2017</w:t>
      </w:r>
    </w:p>
    <w:p w:rsidR="00601FC6" w:rsidRDefault="00CD3D6B" w:rsidP="002777C6">
      <w:pPr>
        <w:spacing w:line="240" w:lineRule="auto"/>
        <w:jc w:val="left"/>
        <w:rPr>
          <w:color w:val="4F81BD"/>
          <w:sz w:val="28"/>
          <w:szCs w:val="28"/>
          <w:u w:color="4F81BD"/>
        </w:rPr>
      </w:pPr>
      <w:r w:rsidRPr="000B66CA">
        <w:rPr>
          <w:color w:val="4F81BD"/>
          <w:u w:color="4F81BD"/>
          <w:lang w:val="de-DE"/>
        </w:rPr>
        <w:t xml:space="preserve"> </w:t>
      </w:r>
      <w:r w:rsidRPr="000B66CA">
        <w:rPr>
          <w:color w:val="4F81BD"/>
          <w:sz w:val="28"/>
          <w:szCs w:val="28"/>
          <w:u w:color="4F81BD"/>
        </w:rPr>
        <w:t>Informacja prasowa</w:t>
      </w:r>
    </w:p>
    <w:p w:rsidR="00486996" w:rsidRDefault="00486996" w:rsidP="00DF081E">
      <w:pPr>
        <w:rPr>
          <w:color w:val="4F81BD"/>
          <w:sz w:val="28"/>
          <w:szCs w:val="28"/>
          <w:u w:color="4F81BD"/>
        </w:rPr>
      </w:pPr>
    </w:p>
    <w:p w:rsidR="00B20966" w:rsidRPr="00B20966" w:rsidRDefault="003246A8" w:rsidP="004C05CC">
      <w:pPr>
        <w:pStyle w:val="Tytu"/>
        <w:jc w:val="center"/>
        <w:rPr>
          <w:b/>
          <w:sz w:val="24"/>
        </w:rPr>
      </w:pPr>
      <w:r>
        <w:rPr>
          <w:b/>
          <w:sz w:val="24"/>
        </w:rPr>
        <w:t xml:space="preserve">Do 2035 r. liczba pacjentów z nadciśnieniem tętniczym zwiększy się </w:t>
      </w:r>
      <w:r w:rsidR="00EF71DC">
        <w:rPr>
          <w:b/>
          <w:sz w:val="24"/>
        </w:rPr>
        <w:br/>
      </w:r>
      <w:r>
        <w:rPr>
          <w:b/>
          <w:sz w:val="24"/>
        </w:rPr>
        <w:t>o połowę</w:t>
      </w:r>
    </w:p>
    <w:p w:rsidR="00561823" w:rsidRPr="00831D62" w:rsidRDefault="00361A23" w:rsidP="00EF71DC">
      <w:pPr>
        <w:rPr>
          <w:b/>
        </w:rPr>
      </w:pPr>
      <w:r w:rsidRPr="00361A23">
        <w:rPr>
          <w:b/>
        </w:rPr>
        <w:t xml:space="preserve">17 maja </w:t>
      </w:r>
      <w:r w:rsidRPr="00204274">
        <w:rPr>
          <w:b/>
        </w:rPr>
        <w:t>obchodzimy</w:t>
      </w:r>
      <w:r w:rsidRPr="00361A23">
        <w:rPr>
          <w:b/>
        </w:rPr>
        <w:t xml:space="preserve"> Światowy </w:t>
      </w:r>
      <w:r>
        <w:rPr>
          <w:b/>
        </w:rPr>
        <w:t>Dzień Nadciśnienia Tętniczego</w:t>
      </w:r>
      <w:r w:rsidR="00204274">
        <w:rPr>
          <w:b/>
        </w:rPr>
        <w:t>. To dobry moment, by zainteres</w:t>
      </w:r>
      <w:r w:rsidR="00204274">
        <w:rPr>
          <w:b/>
        </w:rPr>
        <w:t>o</w:t>
      </w:r>
      <w:r w:rsidR="00204274">
        <w:rPr>
          <w:b/>
        </w:rPr>
        <w:t xml:space="preserve">wać się chorobą, która jest najsilniejszym pojedynczym czynnikiem ryzyka zgonu oraz wystąpienia wielu chorób. Z </w:t>
      </w:r>
      <w:r w:rsidR="00EF71DC">
        <w:rPr>
          <w:b/>
        </w:rPr>
        <w:t>badania NATPOL wynika</w:t>
      </w:r>
      <w:r w:rsidR="00526FA6">
        <w:rPr>
          <w:b/>
        </w:rPr>
        <w:t>,</w:t>
      </w:r>
      <w:r w:rsidR="00EF71DC">
        <w:rPr>
          <w:b/>
        </w:rPr>
        <w:t xml:space="preserve"> że</w:t>
      </w:r>
      <w:r w:rsidR="00526FA6">
        <w:rPr>
          <w:b/>
        </w:rPr>
        <w:t xml:space="preserve"> w </w:t>
      </w:r>
      <w:r w:rsidR="00204274">
        <w:rPr>
          <w:b/>
        </w:rPr>
        <w:t xml:space="preserve">Polsce </w:t>
      </w:r>
      <w:r w:rsidR="00831D62">
        <w:rPr>
          <w:b/>
        </w:rPr>
        <w:t xml:space="preserve">na </w:t>
      </w:r>
      <w:r w:rsidR="00204274">
        <w:rPr>
          <w:b/>
        </w:rPr>
        <w:t>nadciśnieni</w:t>
      </w:r>
      <w:r w:rsidR="00831D62">
        <w:rPr>
          <w:b/>
        </w:rPr>
        <w:t>e</w:t>
      </w:r>
      <w:r w:rsidR="00204274">
        <w:rPr>
          <w:b/>
        </w:rPr>
        <w:t xml:space="preserve"> tętnicze</w:t>
      </w:r>
      <w:r w:rsidR="00831D62">
        <w:rPr>
          <w:b/>
        </w:rPr>
        <w:t xml:space="preserve"> choruje około 9 m</w:t>
      </w:r>
      <w:r w:rsidR="00831D62">
        <w:rPr>
          <w:b/>
        </w:rPr>
        <w:t>i</w:t>
      </w:r>
      <w:r w:rsidR="00831D62">
        <w:rPr>
          <w:b/>
        </w:rPr>
        <w:t>lionów osób w wieku</w:t>
      </w:r>
      <w:r w:rsidR="00EF71DC">
        <w:rPr>
          <w:b/>
        </w:rPr>
        <w:t xml:space="preserve"> od 18 do 79</w:t>
      </w:r>
      <w:r w:rsidR="00831D62">
        <w:rPr>
          <w:b/>
        </w:rPr>
        <w:t xml:space="preserve"> lat</w:t>
      </w:r>
      <w:r w:rsidR="00EF71DC">
        <w:rPr>
          <w:b/>
        </w:rPr>
        <w:t xml:space="preserve">. </w:t>
      </w:r>
      <w:r w:rsidR="00EB2F82">
        <w:rPr>
          <w:b/>
        </w:rPr>
        <w:t>Z kolei badanie</w:t>
      </w:r>
      <w:r w:rsidR="00EF71DC">
        <w:rPr>
          <w:b/>
        </w:rPr>
        <w:t xml:space="preserve"> POLSENIOR </w:t>
      </w:r>
      <w:r w:rsidR="00EB2F82">
        <w:rPr>
          <w:b/>
        </w:rPr>
        <w:t>wykazało</w:t>
      </w:r>
      <w:r w:rsidR="00EF71DC">
        <w:rPr>
          <w:b/>
        </w:rPr>
        <w:t>, że</w:t>
      </w:r>
      <w:r w:rsidR="00831D62">
        <w:rPr>
          <w:b/>
        </w:rPr>
        <w:t xml:space="preserve">  choroba</w:t>
      </w:r>
      <w:r w:rsidR="00EB2F82">
        <w:rPr>
          <w:b/>
        </w:rPr>
        <w:t xml:space="preserve"> ta</w:t>
      </w:r>
      <w:r w:rsidR="00831D62">
        <w:rPr>
          <w:b/>
        </w:rPr>
        <w:t xml:space="preserve"> dotyczy</w:t>
      </w:r>
      <w:r w:rsidR="00EF71DC">
        <w:rPr>
          <w:b/>
        </w:rPr>
        <w:t xml:space="preserve"> około milion</w:t>
      </w:r>
      <w:r w:rsidR="00831D62">
        <w:rPr>
          <w:b/>
        </w:rPr>
        <w:t>a</w:t>
      </w:r>
      <w:r w:rsidR="00EF71DC">
        <w:rPr>
          <w:b/>
        </w:rPr>
        <w:t xml:space="preserve"> osób po 80. </w:t>
      </w:r>
      <w:r w:rsidR="00EB2F82">
        <w:rPr>
          <w:b/>
        </w:rPr>
        <w:t>r</w:t>
      </w:r>
      <w:r w:rsidR="00EF71DC">
        <w:rPr>
          <w:b/>
        </w:rPr>
        <w:t>oku</w:t>
      </w:r>
      <w:r w:rsidR="00440CA0">
        <w:rPr>
          <w:b/>
        </w:rPr>
        <w:t xml:space="preserve"> życia</w:t>
      </w:r>
      <w:r w:rsidR="00EF71DC">
        <w:rPr>
          <w:b/>
        </w:rPr>
        <w:t xml:space="preserve">. Utrzymanie </w:t>
      </w:r>
      <w:r w:rsidR="00561823">
        <w:rPr>
          <w:b/>
        </w:rPr>
        <w:t>tej tendencji</w:t>
      </w:r>
      <w:r w:rsidR="00EF71DC">
        <w:rPr>
          <w:b/>
        </w:rPr>
        <w:t xml:space="preserve"> może spowodować, że do</w:t>
      </w:r>
      <w:r w:rsidR="00EF71DC" w:rsidRPr="00EF71DC">
        <w:rPr>
          <w:b/>
        </w:rPr>
        <w:t xml:space="preserve"> 2035 r. liczba pacjentów z nadciś</w:t>
      </w:r>
      <w:r w:rsidR="00EF71DC">
        <w:rPr>
          <w:b/>
        </w:rPr>
        <w:t xml:space="preserve">nieniem tętniczym zwiększy się </w:t>
      </w:r>
      <w:r w:rsidR="00EF71DC" w:rsidRPr="00EF71DC">
        <w:rPr>
          <w:b/>
        </w:rPr>
        <w:t>o połowę</w:t>
      </w:r>
      <w:r w:rsidR="00EF71DC">
        <w:rPr>
          <w:b/>
        </w:rPr>
        <w:t>. W odpowiedzi na te niepokoj</w:t>
      </w:r>
      <w:r w:rsidR="00EF71DC">
        <w:rPr>
          <w:b/>
        </w:rPr>
        <w:t>ą</w:t>
      </w:r>
      <w:r w:rsidR="00EF71DC">
        <w:rPr>
          <w:b/>
        </w:rPr>
        <w:t>ce statystyki</w:t>
      </w:r>
      <w:r w:rsidR="00C2119D">
        <w:rPr>
          <w:b/>
        </w:rPr>
        <w:t xml:space="preserve"> dwie międzynarodowe organizacje</w:t>
      </w:r>
      <w:r w:rsidR="00561823" w:rsidRPr="00561823">
        <w:rPr>
          <w:b/>
        </w:rPr>
        <w:t xml:space="preserve"> z</w:t>
      </w:r>
      <w:r w:rsidR="00842DB3">
        <w:rPr>
          <w:b/>
        </w:rPr>
        <w:t>ainicjowały</w:t>
      </w:r>
      <w:r w:rsidR="00561823" w:rsidRPr="00561823">
        <w:rPr>
          <w:b/>
        </w:rPr>
        <w:t xml:space="preserve"> ogólnoświatowe badanie May Me</w:t>
      </w:r>
      <w:r w:rsidR="00561823" w:rsidRPr="00561823">
        <w:rPr>
          <w:b/>
        </w:rPr>
        <w:t>a</w:t>
      </w:r>
      <w:r w:rsidR="00561823" w:rsidRPr="00561823">
        <w:rPr>
          <w:b/>
        </w:rPr>
        <w:t>surement Month (MMM17), czyli Maj Miesiącem Mierzenia ciśnienia tętniczego. Jednym z partn</w:t>
      </w:r>
      <w:r w:rsidR="00561823" w:rsidRPr="00561823">
        <w:rPr>
          <w:b/>
        </w:rPr>
        <w:t>e</w:t>
      </w:r>
      <w:r w:rsidR="00561823" w:rsidRPr="00561823">
        <w:rPr>
          <w:b/>
        </w:rPr>
        <w:t>rów badania w Polsce jest Medicover.</w:t>
      </w:r>
    </w:p>
    <w:p w:rsidR="00361A23" w:rsidRDefault="007A67A2" w:rsidP="00831D62">
      <w:r>
        <w:t xml:space="preserve">Nadciśnienie tętnicze jest głównym czynnikiem ryzyka przedwczesnych zgonów. </w:t>
      </w:r>
      <w:r w:rsidR="00322897">
        <w:t>Dodatkowo rozp</w:t>
      </w:r>
      <w:r w:rsidR="00322897">
        <w:t>o</w:t>
      </w:r>
      <w:r w:rsidR="00322897">
        <w:t xml:space="preserve">wszechnienie tej choroby w naszym kraju systematycznie rośnie. </w:t>
      </w:r>
      <w:r w:rsidR="00831D62" w:rsidRPr="00831D62">
        <w:t>Z badania NATPOL wyni</w:t>
      </w:r>
      <w:r w:rsidR="00322897">
        <w:t>ka, że w </w:t>
      </w:r>
      <w:r w:rsidR="00831D62" w:rsidRPr="00831D62">
        <w:t xml:space="preserve">Polsce </w:t>
      </w:r>
      <w:r w:rsidR="00322897">
        <w:t>występowanie</w:t>
      </w:r>
      <w:r w:rsidR="00831D62" w:rsidRPr="00831D62">
        <w:t xml:space="preserve"> nadciśnienia tętniczego wśród osób o</w:t>
      </w:r>
      <w:r w:rsidR="00322897">
        <w:t>d 18 do 79 roku życia wzrosło w </w:t>
      </w:r>
      <w:r w:rsidR="00831D62" w:rsidRPr="00831D62">
        <w:t xml:space="preserve">ciągu 10 lat z 30 do 32 proc., czyli do około 9 milionów osób. Dodatkowo z badania POLSENIOR wynika, że </w:t>
      </w:r>
      <w:r w:rsidR="00322897">
        <w:t xml:space="preserve">dotyczy ono </w:t>
      </w:r>
      <w:r w:rsidR="00831D62" w:rsidRPr="00831D62">
        <w:t>około milion</w:t>
      </w:r>
      <w:r w:rsidR="00322897">
        <w:t>a</w:t>
      </w:r>
      <w:r w:rsidR="00831D62" w:rsidRPr="00831D62">
        <w:t xml:space="preserve"> osób po 80. roku życia</w:t>
      </w:r>
      <w:r w:rsidR="009057B5">
        <w:t>, czyli łącznie około 10 mln Polaków</w:t>
      </w:r>
      <w:r w:rsidR="00322897">
        <w:t>.</w:t>
      </w:r>
      <w:r w:rsidR="00AB187A">
        <w:t xml:space="preserve"> </w:t>
      </w:r>
      <w:r w:rsidR="00AB187A" w:rsidRPr="00AB187A">
        <w:t>Utrzymanie tej tendencji może spowodować, że do 2035 r. liczba pacjentów z nadciśnieniem tętniczym zwiększy się o połowę.</w:t>
      </w:r>
    </w:p>
    <w:p w:rsidR="00A01B69" w:rsidRPr="00A01B69" w:rsidRDefault="00DF081E" w:rsidP="00831D62">
      <w:pPr>
        <w:rPr>
          <w:b/>
        </w:rPr>
      </w:pPr>
      <w:r>
        <w:rPr>
          <w:b/>
        </w:rPr>
        <w:t>Jak często należy badać c</w:t>
      </w:r>
      <w:r w:rsidR="00A01B69" w:rsidRPr="00A01B69">
        <w:rPr>
          <w:b/>
        </w:rPr>
        <w:t>iśnienie tętnicze krwi</w:t>
      </w:r>
      <w:r>
        <w:rPr>
          <w:b/>
        </w:rPr>
        <w:t>?</w:t>
      </w:r>
    </w:p>
    <w:p w:rsidR="00DF081E" w:rsidRDefault="00927354" w:rsidP="00737F31">
      <w:pPr>
        <w:rPr>
          <w:i/>
        </w:rPr>
      </w:pPr>
      <w:r>
        <w:t xml:space="preserve">Z danych Polskiego Towarzystwa Nadciśnienia Tętniczego wynika, że około 30 proc. Polaków nie wie o swojej chorobie </w:t>
      </w:r>
      <w:r w:rsidR="00AB187A">
        <w:t>–</w:t>
      </w:r>
      <w:r>
        <w:t xml:space="preserve"> </w:t>
      </w:r>
      <w:r w:rsidRPr="00976D55">
        <w:rPr>
          <w:i/>
        </w:rPr>
        <w:t>Zdrowe, dorosłe osoby powinny mierzyć ciśnienie tętnicze krwi przynajmniej raz w roku, jednak nie ma przeciwskazań, by robić to częściej. W przypadku osób ze zdiagnozowanym nadciśnieniem tętniczym należy badać je z taką czę</w:t>
      </w:r>
      <w:r w:rsidR="00976D55" w:rsidRPr="00976D55">
        <w:rPr>
          <w:i/>
        </w:rPr>
        <w:t xml:space="preserve">stotliwością jaką zaleci lekarz, </w:t>
      </w:r>
      <w:r w:rsidR="00440CA0">
        <w:rPr>
          <w:i/>
        </w:rPr>
        <w:t xml:space="preserve">czasem </w:t>
      </w:r>
      <w:r w:rsidR="00976D55" w:rsidRPr="00976D55">
        <w:rPr>
          <w:i/>
        </w:rPr>
        <w:t xml:space="preserve">nawet </w:t>
      </w:r>
      <w:r w:rsidR="00440CA0">
        <w:rPr>
          <w:i/>
        </w:rPr>
        <w:t>kilka razy dzi</w:t>
      </w:r>
      <w:r w:rsidR="00440CA0" w:rsidRPr="00976D55">
        <w:rPr>
          <w:i/>
        </w:rPr>
        <w:t>ennie</w:t>
      </w:r>
      <w:r w:rsidR="00440CA0">
        <w:rPr>
          <w:i/>
        </w:rPr>
        <w:t xml:space="preserve"> </w:t>
      </w:r>
      <w:r w:rsidR="00976D55">
        <w:t xml:space="preserve">– mówi </w:t>
      </w:r>
      <w:r w:rsidR="00976D55" w:rsidRPr="00976D55">
        <w:rPr>
          <w:b/>
        </w:rPr>
        <w:t>lek. med. Agnieszka Motyl, lekarz rodzinny, Medicover</w:t>
      </w:r>
      <w:r w:rsidR="00976D55">
        <w:t xml:space="preserve">  – </w:t>
      </w:r>
      <w:r w:rsidR="00976D55" w:rsidRPr="00976D55">
        <w:rPr>
          <w:i/>
        </w:rPr>
        <w:t xml:space="preserve">Nadciśnienie tętnicze diagnozuje się na podstawie </w:t>
      </w:r>
      <w:r w:rsidR="00976D55">
        <w:rPr>
          <w:i/>
        </w:rPr>
        <w:t xml:space="preserve">co najmniej dwóch </w:t>
      </w:r>
      <w:r w:rsidR="00976D55" w:rsidRPr="00976D55">
        <w:rPr>
          <w:i/>
        </w:rPr>
        <w:t>pomiarów wykonanych</w:t>
      </w:r>
      <w:r w:rsidR="00976D55">
        <w:rPr>
          <w:i/>
        </w:rPr>
        <w:t xml:space="preserve"> podczas przynajmniej dwóch kolejnych wizyt. </w:t>
      </w:r>
      <w:r w:rsidR="004F5272">
        <w:rPr>
          <w:i/>
        </w:rPr>
        <w:t>Rozpoznanie następuje</w:t>
      </w:r>
      <w:r w:rsidR="00440CA0">
        <w:rPr>
          <w:i/>
        </w:rPr>
        <w:t>,</w:t>
      </w:r>
      <w:r w:rsidR="004F5272">
        <w:rPr>
          <w:i/>
        </w:rPr>
        <w:t xml:space="preserve"> j</w:t>
      </w:r>
      <w:r w:rsidR="00976D55">
        <w:rPr>
          <w:i/>
        </w:rPr>
        <w:t>eśli średnie w</w:t>
      </w:r>
      <w:r w:rsidR="004F5272">
        <w:rPr>
          <w:i/>
        </w:rPr>
        <w:t xml:space="preserve">artości są wyższe lub równe </w:t>
      </w:r>
      <w:r w:rsidR="00976D55">
        <w:rPr>
          <w:i/>
        </w:rPr>
        <w:t xml:space="preserve">140 mm Hg dla </w:t>
      </w:r>
      <w:r w:rsidR="00954BD9">
        <w:rPr>
          <w:i/>
        </w:rPr>
        <w:t>ciśnienia skurczowego i 90 mm Hg dla rozkurczowego.</w:t>
      </w:r>
      <w:r w:rsidR="004F5272">
        <w:rPr>
          <w:i/>
        </w:rPr>
        <w:t xml:space="preserve"> U chorych z ciśnieniem tętniczym poniżej 160/100 mm Hg rozpoznanie choroby należy potwierdzić poprzez </w:t>
      </w:r>
      <w:r w:rsidR="002E78EB">
        <w:rPr>
          <w:i/>
        </w:rPr>
        <w:t xml:space="preserve">prowadzenie domowych pomiarów lub </w:t>
      </w:r>
      <w:r w:rsidR="004F5272">
        <w:rPr>
          <w:i/>
        </w:rPr>
        <w:t>automatyczną rejestrację ciśnienia krwi.</w:t>
      </w:r>
    </w:p>
    <w:p w:rsidR="004F5272" w:rsidRPr="00DF081E" w:rsidRDefault="00AE0A65" w:rsidP="00737F31">
      <w:pPr>
        <w:rPr>
          <w:i/>
        </w:rPr>
      </w:pPr>
      <w:r>
        <w:lastRenderedPageBreak/>
        <w:t>Rozwojowi nadciśnienia tętniczego</w:t>
      </w:r>
      <w:r w:rsidR="00737F31">
        <w:t xml:space="preserve"> </w:t>
      </w:r>
      <w:r w:rsidR="00EB2F82">
        <w:t>sprzyjają</w:t>
      </w:r>
      <w:r w:rsidR="00737F31">
        <w:t xml:space="preserve"> czynniki środowiskowe </w:t>
      </w:r>
      <w:r w:rsidR="007B1BCB">
        <w:t xml:space="preserve">oraz nawyki </w:t>
      </w:r>
      <w:r w:rsidR="00737F31">
        <w:t>związane ze stylem życia. Najskuteczniejszą metodą</w:t>
      </w:r>
      <w:r w:rsidR="00C2119D">
        <w:t xml:space="preserve"> uniknięcia lub opóźnienia rozwoju tej choroby</w:t>
      </w:r>
      <w:r w:rsidR="00737F31">
        <w:t xml:space="preserve"> jest zapobieganie nadwadze i otyłości, zwiększenie aktywności fizycznej</w:t>
      </w:r>
      <w:r>
        <w:t xml:space="preserve"> </w:t>
      </w:r>
      <w:r w:rsidR="00737F31">
        <w:t>oraz ograniczenie spożycia soli kuchennej i</w:t>
      </w:r>
      <w:r w:rsidR="00DF081E">
        <w:t> </w:t>
      </w:r>
      <w:r w:rsidR="00737F31">
        <w:t>alkoholu.</w:t>
      </w:r>
    </w:p>
    <w:p w:rsidR="00737F31" w:rsidRDefault="009563AE" w:rsidP="00737F31">
      <w:pPr>
        <w:rPr>
          <w:b/>
        </w:rPr>
      </w:pPr>
      <w:r w:rsidRPr="009563AE">
        <w:rPr>
          <w:b/>
        </w:rPr>
        <w:t>MMM17 – n</w:t>
      </w:r>
      <w:r w:rsidR="00C2119D" w:rsidRPr="009563AE">
        <w:rPr>
          <w:b/>
        </w:rPr>
        <w:t>ajwiększa akcja screeningowa</w:t>
      </w:r>
      <w:r w:rsidR="00A01B69">
        <w:rPr>
          <w:b/>
        </w:rPr>
        <w:t xml:space="preserve"> trwa</w:t>
      </w:r>
    </w:p>
    <w:p w:rsidR="004F5272" w:rsidRDefault="009057B5" w:rsidP="00737F31">
      <w:r>
        <w:t xml:space="preserve">Profilaktyka ma w tym przypadku bardzo duże znaczenie, dlatego </w:t>
      </w:r>
      <w:r w:rsidR="009563AE">
        <w:t>1 maja br.</w:t>
      </w:r>
      <w:r w:rsidR="009563AE" w:rsidRPr="009563AE">
        <w:t xml:space="preserve"> rozpocz</w:t>
      </w:r>
      <w:r w:rsidR="009563AE">
        <w:t>ęła</w:t>
      </w:r>
      <w:r w:rsidR="009563AE" w:rsidRPr="009563AE">
        <w:t xml:space="preserve"> się najwię</w:t>
      </w:r>
      <w:r w:rsidR="009563AE" w:rsidRPr="009563AE">
        <w:t>k</w:t>
      </w:r>
      <w:r w:rsidR="009563AE" w:rsidRPr="009563AE">
        <w:t>sza międzynarodowa kampania May Measurement Month, czyli Maj Miesiącem Mierzenia ciśnienia tętniczego. To globalny program screeningowy zainicjonowany przez Międzynarodowe Towarzystwo Nadciśnienia Tętniczego i Światową Ligę Nadciśnienia Tętnicze</w:t>
      </w:r>
      <w:r w:rsidR="00842DB3">
        <w:t xml:space="preserve">go. Intencją </w:t>
      </w:r>
      <w:r w:rsidR="009563AE" w:rsidRPr="009563AE">
        <w:t>organizator</w:t>
      </w:r>
      <w:r>
        <w:t>ów jest</w:t>
      </w:r>
      <w:r w:rsidR="00440CA0">
        <w:t>,</w:t>
      </w:r>
      <w:r>
        <w:t xml:space="preserve"> by w </w:t>
      </w:r>
      <w:r w:rsidR="00842DB3">
        <w:t>ramach kampanii przebadano</w:t>
      </w:r>
      <w:r w:rsidR="009563AE" w:rsidRPr="009563AE">
        <w:t xml:space="preserve"> ponad 25 mln ludzi na całym świecie, w tym od 50 tys. do 250 tys. Polaków. Akcja </w:t>
      </w:r>
      <w:r w:rsidR="009563AE">
        <w:t>potrwa do</w:t>
      </w:r>
      <w:r w:rsidR="009563AE" w:rsidRPr="009563AE">
        <w:t xml:space="preserve"> 31 maja</w:t>
      </w:r>
      <w:r w:rsidR="00842DB3">
        <w:t xml:space="preserve"> br.</w:t>
      </w:r>
      <w:r w:rsidR="009563AE" w:rsidRPr="009563AE">
        <w:t xml:space="preserve"> w ponad 100 krajach świata, na wszystkich kontynentach.</w:t>
      </w:r>
      <w:r w:rsidR="009563AE">
        <w:t xml:space="preserve"> </w:t>
      </w:r>
      <w:r w:rsidR="00EB2F82">
        <w:t>Kl</w:t>
      </w:r>
      <w:r w:rsidR="00EB2F82">
        <w:t>u</w:t>
      </w:r>
      <w:r w:rsidR="00EB2F82">
        <w:t xml:space="preserve">czowym </w:t>
      </w:r>
      <w:r w:rsidR="009563AE" w:rsidRPr="009563AE">
        <w:t>celem kampanii MMM17 jest podniesienie społecznej świad</w:t>
      </w:r>
      <w:r w:rsidR="00DF081E">
        <w:t>omości w obszarze diagnostyki i </w:t>
      </w:r>
      <w:r w:rsidR="009563AE" w:rsidRPr="009563AE">
        <w:t>leczenia nadciśnienia tętniczego w skali lokalnej, krajowej, jak i globalnej.</w:t>
      </w:r>
      <w:r w:rsidR="007B1BCB">
        <w:t xml:space="preserve"> </w:t>
      </w:r>
      <w:r w:rsidR="00DF081E">
        <w:t xml:space="preserve"> – </w:t>
      </w:r>
      <w:r w:rsidR="007B1BCB" w:rsidRPr="00DF081E">
        <w:rPr>
          <w:i/>
        </w:rPr>
        <w:t>Im wcześniej rozpozn</w:t>
      </w:r>
      <w:r w:rsidR="007B1BCB" w:rsidRPr="00DF081E">
        <w:rPr>
          <w:i/>
        </w:rPr>
        <w:t>a</w:t>
      </w:r>
      <w:r w:rsidR="007B1BCB" w:rsidRPr="00DF081E">
        <w:rPr>
          <w:i/>
        </w:rPr>
        <w:t>my nadciśnienie tętnicze</w:t>
      </w:r>
      <w:r w:rsidR="00DF081E">
        <w:rPr>
          <w:i/>
        </w:rPr>
        <w:t>,</w:t>
      </w:r>
      <w:r w:rsidR="007B1BCB" w:rsidRPr="00DF081E">
        <w:rPr>
          <w:i/>
        </w:rPr>
        <w:t xml:space="preserve"> tym szybciej możemy je skutecznie leczyć i eliminować ryzyko </w:t>
      </w:r>
      <w:r w:rsidR="00DF081E" w:rsidRPr="00DF081E">
        <w:rPr>
          <w:i/>
        </w:rPr>
        <w:t>wystąpienia</w:t>
      </w:r>
      <w:r w:rsidR="007B1BCB" w:rsidRPr="00DF081E">
        <w:rPr>
          <w:i/>
        </w:rPr>
        <w:t xml:space="preserve"> poważnych powikłań </w:t>
      </w:r>
      <w:r w:rsidR="00DF081E" w:rsidRPr="00DF081E">
        <w:rPr>
          <w:i/>
        </w:rPr>
        <w:t>zdrowotnych</w:t>
      </w:r>
      <w:r w:rsidR="007B1BCB" w:rsidRPr="00DF081E">
        <w:rPr>
          <w:i/>
        </w:rPr>
        <w:t xml:space="preserve"> </w:t>
      </w:r>
      <w:r w:rsidR="007B1BCB">
        <w:t>– dodaje</w:t>
      </w:r>
      <w:r w:rsidR="007B1BCB" w:rsidRPr="007B1BCB">
        <w:t xml:space="preserve"> </w:t>
      </w:r>
      <w:r w:rsidR="007B1BCB" w:rsidRPr="00DF081E">
        <w:rPr>
          <w:b/>
        </w:rPr>
        <w:t>lek. med. Agnieszka Motyl, lekarz rodzinny, Medicover</w:t>
      </w:r>
      <w:r w:rsidR="00DF081E">
        <w:t>.</w:t>
      </w:r>
    </w:p>
    <w:p w:rsidR="00842DB3" w:rsidRDefault="00842DB3" w:rsidP="00842DB3">
      <w:r>
        <w:t>Badanie ma na celu pomiar ciśnienia tętniczego krwi oraz częstości akcji serca u dorosłych powyżej 18. roku życia, obojga płci, u których ciśnienie tętnicze nie było mierzone w przeciągu ostatniego roku. Przewidziany jest również krótki wywiad lekarski dotyczący historii chorób układu krążenia oraz czynników ryzyka sercowo-naczyniowego. Wszystkie gromadzone dane będą miały charakter anon</w:t>
      </w:r>
      <w:r>
        <w:t>i</w:t>
      </w:r>
      <w:r>
        <w:t>mowy, a po zebraniu zostaną przesłane drogą elektroniczną poprzez specjalnie zaprojektowaną apl</w:t>
      </w:r>
      <w:r>
        <w:t>i</w:t>
      </w:r>
      <w:r>
        <w:t>kację (APP MMM17) do centralnej, światowej bazy danych.</w:t>
      </w:r>
    </w:p>
    <w:p w:rsidR="00842DB3" w:rsidRDefault="0083130C" w:rsidP="00842DB3">
      <w:r>
        <w:t>P</w:t>
      </w:r>
      <w:r w:rsidR="00842DB3">
        <w:t>acjenci</w:t>
      </w:r>
      <w:r w:rsidR="000F736C">
        <w:t>,</w:t>
      </w:r>
      <w:r>
        <w:t xml:space="preserve"> u których </w:t>
      </w:r>
      <w:r w:rsidR="009057B5">
        <w:t>wynik pomiaru wskaże na</w:t>
      </w:r>
      <w:r>
        <w:t xml:space="preserve"> nadciśnienie</w:t>
      </w:r>
      <w:r w:rsidR="00842DB3">
        <w:t xml:space="preserve"> tętnicze, otrzymają pisemną poradę z z</w:t>
      </w:r>
      <w:r w:rsidR="00842DB3">
        <w:t>a</w:t>
      </w:r>
      <w:r w:rsidR="00842DB3">
        <w:t>leceniami dotyczącymi dalsz</w:t>
      </w:r>
      <w:r>
        <w:t xml:space="preserve">ych działań, np. </w:t>
      </w:r>
      <w:r w:rsidR="00950675">
        <w:t xml:space="preserve">zmiany </w:t>
      </w:r>
      <w:r w:rsidR="00842DB3">
        <w:t>stylu życia</w:t>
      </w:r>
      <w:r>
        <w:t xml:space="preserve"> i diety</w:t>
      </w:r>
      <w:r w:rsidR="00842DB3">
        <w:t xml:space="preserve">. </w:t>
      </w:r>
    </w:p>
    <w:p w:rsidR="007A67A2" w:rsidRPr="00831D62" w:rsidRDefault="00842DB3" w:rsidP="00737F31">
      <w:r>
        <w:t xml:space="preserve">Pomiary </w:t>
      </w:r>
      <w:r w:rsidR="00950675">
        <w:t xml:space="preserve">są </w:t>
      </w:r>
      <w:r>
        <w:t>wykonywane w Centrach Medycznych Medicover wśród pacjentów oraz w aptekach M</w:t>
      </w:r>
      <w:r>
        <w:t>e</w:t>
      </w:r>
      <w:r>
        <w:t>dicover wszystkim zainteresowanym.</w:t>
      </w:r>
    </w:p>
    <w:p w:rsidR="00F31560" w:rsidRPr="000B66CA" w:rsidRDefault="00606F8A" w:rsidP="00DF081E">
      <w:pPr>
        <w:jc w:val="center"/>
        <w:rPr>
          <w:rFonts w:cs="Times New Roman"/>
          <w:b/>
          <w:sz w:val="24"/>
          <w:szCs w:val="24"/>
        </w:rPr>
      </w:pPr>
      <w:r w:rsidRPr="000B66CA">
        <w:rPr>
          <w:rFonts w:cs="Times New Roman"/>
          <w:b/>
          <w:sz w:val="24"/>
          <w:szCs w:val="24"/>
        </w:rPr>
        <w:t>***</w:t>
      </w:r>
    </w:p>
    <w:p w:rsidR="00F31560" w:rsidRPr="000B66CA" w:rsidRDefault="00F31560" w:rsidP="00DF081E">
      <w:pPr>
        <w:jc w:val="center"/>
        <w:rPr>
          <w:b/>
          <w:bCs/>
          <w:sz w:val="18"/>
          <w:szCs w:val="18"/>
        </w:rPr>
      </w:pPr>
      <w:r w:rsidRPr="000B66CA">
        <w:rPr>
          <w:b/>
          <w:bCs/>
          <w:sz w:val="18"/>
          <w:szCs w:val="18"/>
          <w:lang w:val="it-IT"/>
        </w:rPr>
        <w:t xml:space="preserve">Medicover </w:t>
      </w:r>
      <w:r w:rsidR="00BF4C76">
        <w:rPr>
          <w:b/>
          <w:bCs/>
          <w:sz w:val="18"/>
          <w:szCs w:val="18"/>
        </w:rPr>
        <w:t>– 22</w:t>
      </w:r>
      <w:r w:rsidRPr="000B66CA">
        <w:rPr>
          <w:b/>
          <w:bCs/>
          <w:sz w:val="18"/>
          <w:szCs w:val="18"/>
        </w:rPr>
        <w:t xml:space="preserve"> lat</w:t>
      </w:r>
      <w:r w:rsidR="00C11992">
        <w:rPr>
          <w:b/>
          <w:bCs/>
          <w:sz w:val="18"/>
          <w:szCs w:val="18"/>
        </w:rPr>
        <w:t>a</w:t>
      </w:r>
      <w:r w:rsidRPr="000B66CA">
        <w:rPr>
          <w:b/>
          <w:bCs/>
          <w:sz w:val="18"/>
          <w:szCs w:val="18"/>
        </w:rPr>
        <w:t xml:space="preserve"> doświadczenia w zakresie opieki zdrowotnej</w:t>
      </w:r>
    </w:p>
    <w:p w:rsidR="00B11AB3" w:rsidRPr="000B66CA" w:rsidRDefault="006B47F7" w:rsidP="00DF081E">
      <w:r>
        <w:rPr>
          <w:sz w:val="18"/>
          <w:szCs w:val="18"/>
        </w:rPr>
        <w:t>Grupa Medicover jest międzynarodową firmą medyczną oferującą pełny zakres opieki medycznej. W Polsce opiekuje się ponad 9,2 tys. firm i ponad 650 tys.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w. Posiada ponad 140 własnych plac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wek medycznych w różnych regionach Polski. Współpracuje także z ponad 1 800 placówkami partnerskimi w całym kraju. O zdrowie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troszczy się ponad 3000 lekarzy i 1100 pielęgniarek i personelu pomocniczego w placówkach własnych oraz przeszło 9 tys. lekarzy współprac</w:t>
      </w:r>
      <w:r>
        <w:rPr>
          <w:sz w:val="18"/>
          <w:szCs w:val="18"/>
        </w:rPr>
        <w:t>u</w:t>
      </w:r>
      <w:r>
        <w:rPr>
          <w:sz w:val="18"/>
          <w:szCs w:val="18"/>
        </w:rPr>
        <w:t xml:space="preserve">jących. Medicover zbiera doświadczenia i poszerza zakres działalności już od ponad </w:t>
      </w:r>
      <w:r w:rsidRPr="001130BE">
        <w:rPr>
          <w:bCs/>
          <w:sz w:val="18"/>
          <w:szCs w:val="18"/>
        </w:rPr>
        <w:t xml:space="preserve">21 </w:t>
      </w:r>
      <w:r w:rsidRPr="001130BE">
        <w:rPr>
          <w:sz w:val="18"/>
          <w:szCs w:val="18"/>
        </w:rPr>
        <w:t>lat.</w:t>
      </w:r>
      <w:r>
        <w:rPr>
          <w:sz w:val="18"/>
          <w:szCs w:val="18"/>
        </w:rPr>
        <w:t xml:space="preserve"> Ukoronowaniem dotychczasow</w:t>
      </w:r>
      <w:r>
        <w:rPr>
          <w:sz w:val="18"/>
          <w:szCs w:val="18"/>
        </w:rPr>
        <w:t>e</w:t>
      </w:r>
      <w:r>
        <w:rPr>
          <w:sz w:val="18"/>
          <w:szCs w:val="18"/>
        </w:rPr>
        <w:t>go rozwoju firmy w Polsce było otwarcie w 2009 roku pierwszego, wielospecjalistycznego Szpitala Medicover w warsza</w:t>
      </w:r>
      <w:r>
        <w:rPr>
          <w:sz w:val="18"/>
          <w:szCs w:val="18"/>
        </w:rPr>
        <w:t>w</w:t>
      </w:r>
      <w:r>
        <w:rPr>
          <w:sz w:val="18"/>
          <w:szCs w:val="18"/>
        </w:rPr>
        <w:t>skim Wilanowie. Jako prywatna firma medyczna w Polsce, Medicover zapewnia swoim pacjentom pełną opiekę medyczną obejmującą usługi ambulatoryjne, diagnostykę laboratoryjną i obrazową, stomatologię aż po kompleksową opiekę szpitalną. Usługi dostępne w formie abonament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i ubezpieczeń medycznych kierowane są zarówno do firm, jak i klient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indywid</w:t>
      </w:r>
      <w:r>
        <w:rPr>
          <w:sz w:val="18"/>
          <w:szCs w:val="18"/>
        </w:rPr>
        <w:t>u</w:t>
      </w:r>
      <w:r>
        <w:rPr>
          <w:sz w:val="18"/>
          <w:szCs w:val="18"/>
        </w:rPr>
        <w:t>alnych. Grupa Medicover rozwija swoją działalność nie tylko w Polsce, ale również w innych krajach Europy. Więcej info</w:t>
      </w:r>
      <w:r>
        <w:rPr>
          <w:sz w:val="18"/>
          <w:szCs w:val="18"/>
        </w:rPr>
        <w:t>r</w:t>
      </w:r>
      <w:r>
        <w:rPr>
          <w:sz w:val="18"/>
          <w:szCs w:val="18"/>
        </w:rPr>
        <w:t xml:space="preserve">macji na stronie </w:t>
      </w:r>
      <w:hyperlink r:id="rId10" w:history="1">
        <w:r w:rsidRPr="00FA542C">
          <w:rPr>
            <w:rStyle w:val="Hipercze"/>
            <w:sz w:val="18"/>
            <w:szCs w:val="18"/>
          </w:rPr>
          <w:t>www.medicover.pl</w:t>
        </w:r>
      </w:hyperlink>
      <w:bookmarkEnd w:id="0"/>
    </w:p>
    <w:sectPr w:rsidR="00B11AB3" w:rsidRPr="000B66CA" w:rsidSect="00663C2B">
      <w:headerReference w:type="default" r:id="rId11"/>
      <w:pgSz w:w="11900" w:h="16840"/>
      <w:pgMar w:top="1417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D2" w:rsidRDefault="006611D2">
      <w:pPr>
        <w:spacing w:after="0" w:line="240" w:lineRule="auto"/>
      </w:pPr>
      <w:r>
        <w:separator/>
      </w:r>
    </w:p>
  </w:endnote>
  <w:endnote w:type="continuationSeparator" w:id="0">
    <w:p w:rsidR="006611D2" w:rsidRDefault="0066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D2" w:rsidRDefault="006611D2">
      <w:pPr>
        <w:spacing w:after="0" w:line="240" w:lineRule="auto"/>
      </w:pPr>
      <w:r>
        <w:separator/>
      </w:r>
    </w:p>
  </w:footnote>
  <w:footnote w:type="continuationSeparator" w:id="0">
    <w:p w:rsidR="006611D2" w:rsidRDefault="0066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69" w:rsidRDefault="006768F2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</w:rPr>
      <w:pict>
        <v:rect id="officeArt object" o:spid="_x0000_s10241" style="position:absolute;left:0;text-align:left;margin-left:170.2pt;margin-top:804.45pt;width:92.85pt;height:27.25pt;z-index:-25165875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" filled="f" stroked="f" strokeweight="1pt">
          <v:stroke miterlimit="4"/>
          <v:path arrowok="t"/>
          <v:textbox inset="0,0,0,0">
            <w:txbxContent>
              <w:p w:rsidR="00577B36" w:rsidRDefault="00577B36">
                <w:pPr>
                  <w:spacing w:after="0" w:line="240" w:lineRule="auto"/>
                  <w:rPr>
                    <w:color w:val="FFFFFF"/>
                    <w:sz w:val="15"/>
                    <w:szCs w:val="15"/>
                    <w:u w:color="FFFFFF"/>
                  </w:rPr>
                </w:pPr>
                <w:r>
                  <w:rPr>
                    <w:color w:val="FFFFFF"/>
                    <w:sz w:val="15"/>
                    <w:szCs w:val="15"/>
                    <w:u w:color="FFFFFF"/>
                  </w:rPr>
                  <w:t xml:space="preserve">T: 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>+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48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 xml:space="preserve"> (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22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>)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 xml:space="preserve"> 278 38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 xml:space="preserve"> 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00</w:t>
                </w:r>
              </w:p>
              <w:p w:rsidR="00577B36" w:rsidRDefault="00577B36">
                <w:pPr>
                  <w:spacing w:after="0" w:line="240" w:lineRule="auto"/>
                </w:pPr>
                <w:r>
                  <w:rPr>
                    <w:color w:val="FFFFFF"/>
                    <w:sz w:val="15"/>
                    <w:szCs w:val="15"/>
                    <w:u w:color="FFFFFF"/>
                  </w:rPr>
                  <w:t xml:space="preserve">F: 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>+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48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 xml:space="preserve"> (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22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>)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 xml:space="preserve"> 278 38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 xml:space="preserve"> 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75</w:t>
                </w:r>
              </w:p>
            </w:txbxContent>
          </v:textbox>
          <w10:wrap anchorx="page" anchory="page"/>
        </v:rect>
      </w:pict>
    </w:r>
    <w:r w:rsidR="00A01B69">
      <w:rPr>
        <w:rFonts w:ascii="Calibri" w:eastAsia="Calibri" w:hAnsi="Calibri" w:cs="Calibri"/>
        <w:b w:val="0"/>
        <w:bCs w:val="0"/>
        <w:sz w:val="28"/>
        <w:szCs w:val="28"/>
      </w:rPr>
      <w:tab/>
    </w:r>
    <w:r w:rsidR="00A01B69"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A01B69" w:rsidRDefault="00A01B69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32C"/>
    <w:multiLevelType w:val="hybridMultilevel"/>
    <w:tmpl w:val="D324B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07101AA"/>
    <w:multiLevelType w:val="hybridMultilevel"/>
    <w:tmpl w:val="C30A0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765D5"/>
    <w:multiLevelType w:val="hybridMultilevel"/>
    <w:tmpl w:val="274AAF5C"/>
    <w:numStyleLink w:val="Zaimportowanystyl1"/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98E"/>
    <w:rsid w:val="00005012"/>
    <w:rsid w:val="00005D2A"/>
    <w:rsid w:val="00022871"/>
    <w:rsid w:val="00030320"/>
    <w:rsid w:val="000338BB"/>
    <w:rsid w:val="0003478C"/>
    <w:rsid w:val="00062EAC"/>
    <w:rsid w:val="000678FA"/>
    <w:rsid w:val="00071DA3"/>
    <w:rsid w:val="00071FF6"/>
    <w:rsid w:val="00072718"/>
    <w:rsid w:val="0007350E"/>
    <w:rsid w:val="00073784"/>
    <w:rsid w:val="00085481"/>
    <w:rsid w:val="0009501F"/>
    <w:rsid w:val="000B28E5"/>
    <w:rsid w:val="000B66CA"/>
    <w:rsid w:val="000D53CB"/>
    <w:rsid w:val="000E1586"/>
    <w:rsid w:val="000E20C4"/>
    <w:rsid w:val="000F499A"/>
    <w:rsid w:val="000F736C"/>
    <w:rsid w:val="00100C4D"/>
    <w:rsid w:val="001068EC"/>
    <w:rsid w:val="001075AE"/>
    <w:rsid w:val="001347D6"/>
    <w:rsid w:val="00136821"/>
    <w:rsid w:val="001419ED"/>
    <w:rsid w:val="00152010"/>
    <w:rsid w:val="001523CA"/>
    <w:rsid w:val="001567D5"/>
    <w:rsid w:val="00162C5E"/>
    <w:rsid w:val="00164018"/>
    <w:rsid w:val="0016479D"/>
    <w:rsid w:val="00173A78"/>
    <w:rsid w:val="00175799"/>
    <w:rsid w:val="00180260"/>
    <w:rsid w:val="00192690"/>
    <w:rsid w:val="00195497"/>
    <w:rsid w:val="00196B68"/>
    <w:rsid w:val="001A03BF"/>
    <w:rsid w:val="001B7BF8"/>
    <w:rsid w:val="001C5CFA"/>
    <w:rsid w:val="001D79B0"/>
    <w:rsid w:val="001E39A0"/>
    <w:rsid w:val="001E6713"/>
    <w:rsid w:val="001F1AF2"/>
    <w:rsid w:val="001F274D"/>
    <w:rsid w:val="001F466B"/>
    <w:rsid w:val="00204274"/>
    <w:rsid w:val="00212BC6"/>
    <w:rsid w:val="00213182"/>
    <w:rsid w:val="002175C8"/>
    <w:rsid w:val="002214C4"/>
    <w:rsid w:val="00221D98"/>
    <w:rsid w:val="002300FD"/>
    <w:rsid w:val="00233154"/>
    <w:rsid w:val="002373A1"/>
    <w:rsid w:val="00253EE4"/>
    <w:rsid w:val="002611E9"/>
    <w:rsid w:val="00262BF8"/>
    <w:rsid w:val="002777C6"/>
    <w:rsid w:val="00281372"/>
    <w:rsid w:val="00281D47"/>
    <w:rsid w:val="002A3DFB"/>
    <w:rsid w:val="002A5722"/>
    <w:rsid w:val="002B5D1D"/>
    <w:rsid w:val="002C168A"/>
    <w:rsid w:val="002C34A7"/>
    <w:rsid w:val="002C5A19"/>
    <w:rsid w:val="002C5AAC"/>
    <w:rsid w:val="002D386D"/>
    <w:rsid w:val="002E4E2B"/>
    <w:rsid w:val="002E78EB"/>
    <w:rsid w:val="002F1F9D"/>
    <w:rsid w:val="002F21AC"/>
    <w:rsid w:val="002F436B"/>
    <w:rsid w:val="003219E1"/>
    <w:rsid w:val="00322897"/>
    <w:rsid w:val="003246A8"/>
    <w:rsid w:val="003339E8"/>
    <w:rsid w:val="00337484"/>
    <w:rsid w:val="00341423"/>
    <w:rsid w:val="00346769"/>
    <w:rsid w:val="0035598F"/>
    <w:rsid w:val="00361A23"/>
    <w:rsid w:val="00376F20"/>
    <w:rsid w:val="00383C21"/>
    <w:rsid w:val="00384CE2"/>
    <w:rsid w:val="003A2970"/>
    <w:rsid w:val="003B0737"/>
    <w:rsid w:val="003B5F8C"/>
    <w:rsid w:val="003C36D9"/>
    <w:rsid w:val="003C6384"/>
    <w:rsid w:val="003C7F08"/>
    <w:rsid w:val="003D6B44"/>
    <w:rsid w:val="003D7651"/>
    <w:rsid w:val="003E1F5B"/>
    <w:rsid w:val="003E3B0E"/>
    <w:rsid w:val="003E42D7"/>
    <w:rsid w:val="003E6FA2"/>
    <w:rsid w:val="003F026A"/>
    <w:rsid w:val="003F4D3E"/>
    <w:rsid w:val="00402840"/>
    <w:rsid w:val="004069AC"/>
    <w:rsid w:val="004106B1"/>
    <w:rsid w:val="004119FA"/>
    <w:rsid w:val="00414E2A"/>
    <w:rsid w:val="00417644"/>
    <w:rsid w:val="00424286"/>
    <w:rsid w:val="00425738"/>
    <w:rsid w:val="004343B9"/>
    <w:rsid w:val="00440CA0"/>
    <w:rsid w:val="00442299"/>
    <w:rsid w:val="004475F0"/>
    <w:rsid w:val="00460CA7"/>
    <w:rsid w:val="00463E2B"/>
    <w:rsid w:val="00464282"/>
    <w:rsid w:val="0046776A"/>
    <w:rsid w:val="00475473"/>
    <w:rsid w:val="00486996"/>
    <w:rsid w:val="0049570A"/>
    <w:rsid w:val="004A4AA9"/>
    <w:rsid w:val="004A7430"/>
    <w:rsid w:val="004B1831"/>
    <w:rsid w:val="004C05CC"/>
    <w:rsid w:val="004C78A5"/>
    <w:rsid w:val="004F05C9"/>
    <w:rsid w:val="004F28C0"/>
    <w:rsid w:val="004F4943"/>
    <w:rsid w:val="004F5272"/>
    <w:rsid w:val="005060CB"/>
    <w:rsid w:val="0051442C"/>
    <w:rsid w:val="0051798E"/>
    <w:rsid w:val="00522831"/>
    <w:rsid w:val="00526FA6"/>
    <w:rsid w:val="0052792D"/>
    <w:rsid w:val="00537302"/>
    <w:rsid w:val="00537A54"/>
    <w:rsid w:val="0055743F"/>
    <w:rsid w:val="00557ED5"/>
    <w:rsid w:val="00561823"/>
    <w:rsid w:val="00577B36"/>
    <w:rsid w:val="005857DA"/>
    <w:rsid w:val="005A4A73"/>
    <w:rsid w:val="005B0AC3"/>
    <w:rsid w:val="005C0C0D"/>
    <w:rsid w:val="005C1BFF"/>
    <w:rsid w:val="005C3CCE"/>
    <w:rsid w:val="005C57C5"/>
    <w:rsid w:val="005D08F7"/>
    <w:rsid w:val="005D18C5"/>
    <w:rsid w:val="005D6D97"/>
    <w:rsid w:val="005E2819"/>
    <w:rsid w:val="005E7424"/>
    <w:rsid w:val="00601FC6"/>
    <w:rsid w:val="00606369"/>
    <w:rsid w:val="00606F8A"/>
    <w:rsid w:val="00607287"/>
    <w:rsid w:val="00616199"/>
    <w:rsid w:val="0062384F"/>
    <w:rsid w:val="006434DC"/>
    <w:rsid w:val="00644BAD"/>
    <w:rsid w:val="006611D2"/>
    <w:rsid w:val="0066203B"/>
    <w:rsid w:val="00663C2B"/>
    <w:rsid w:val="00670B11"/>
    <w:rsid w:val="006768F2"/>
    <w:rsid w:val="006773A0"/>
    <w:rsid w:val="006933BA"/>
    <w:rsid w:val="006A6EF2"/>
    <w:rsid w:val="006B3893"/>
    <w:rsid w:val="006B47F7"/>
    <w:rsid w:val="006B699F"/>
    <w:rsid w:val="006B6AE5"/>
    <w:rsid w:val="006B7BAB"/>
    <w:rsid w:val="006C2AD5"/>
    <w:rsid w:val="006C347A"/>
    <w:rsid w:val="006C6EF8"/>
    <w:rsid w:val="006F27C7"/>
    <w:rsid w:val="006F67F8"/>
    <w:rsid w:val="00700F9F"/>
    <w:rsid w:val="00703548"/>
    <w:rsid w:val="00704E48"/>
    <w:rsid w:val="00711EB7"/>
    <w:rsid w:val="0072792B"/>
    <w:rsid w:val="00737F31"/>
    <w:rsid w:val="00744CEA"/>
    <w:rsid w:val="0079406B"/>
    <w:rsid w:val="007A59D4"/>
    <w:rsid w:val="007A67A2"/>
    <w:rsid w:val="007A7461"/>
    <w:rsid w:val="007B1BCB"/>
    <w:rsid w:val="007B47D1"/>
    <w:rsid w:val="007B6AF7"/>
    <w:rsid w:val="007C7881"/>
    <w:rsid w:val="007D3D57"/>
    <w:rsid w:val="007E6AB3"/>
    <w:rsid w:val="007E6F4A"/>
    <w:rsid w:val="007F1DA6"/>
    <w:rsid w:val="00803C9F"/>
    <w:rsid w:val="00817F15"/>
    <w:rsid w:val="008211FC"/>
    <w:rsid w:val="0083130C"/>
    <w:rsid w:val="00831D62"/>
    <w:rsid w:val="00833B12"/>
    <w:rsid w:val="00834384"/>
    <w:rsid w:val="00835125"/>
    <w:rsid w:val="00835CAC"/>
    <w:rsid w:val="0084141C"/>
    <w:rsid w:val="00842DB3"/>
    <w:rsid w:val="008455E9"/>
    <w:rsid w:val="00847A10"/>
    <w:rsid w:val="008667FF"/>
    <w:rsid w:val="00866E3C"/>
    <w:rsid w:val="00873066"/>
    <w:rsid w:val="00882072"/>
    <w:rsid w:val="00884890"/>
    <w:rsid w:val="008A0CE5"/>
    <w:rsid w:val="008B2C22"/>
    <w:rsid w:val="008B3333"/>
    <w:rsid w:val="008B4966"/>
    <w:rsid w:val="008B6AB7"/>
    <w:rsid w:val="008C541F"/>
    <w:rsid w:val="008C5F35"/>
    <w:rsid w:val="008D5F12"/>
    <w:rsid w:val="008E1322"/>
    <w:rsid w:val="008E7F16"/>
    <w:rsid w:val="008F7577"/>
    <w:rsid w:val="00902708"/>
    <w:rsid w:val="009057B5"/>
    <w:rsid w:val="0090646D"/>
    <w:rsid w:val="0091742B"/>
    <w:rsid w:val="00926D7D"/>
    <w:rsid w:val="00927354"/>
    <w:rsid w:val="00940CBB"/>
    <w:rsid w:val="009449FB"/>
    <w:rsid w:val="00950675"/>
    <w:rsid w:val="0095305B"/>
    <w:rsid w:val="009539E1"/>
    <w:rsid w:val="0095443E"/>
    <w:rsid w:val="00954BD9"/>
    <w:rsid w:val="009563AE"/>
    <w:rsid w:val="00962D43"/>
    <w:rsid w:val="00966D6A"/>
    <w:rsid w:val="00976D55"/>
    <w:rsid w:val="00982622"/>
    <w:rsid w:val="009833C5"/>
    <w:rsid w:val="0098703B"/>
    <w:rsid w:val="00994BE0"/>
    <w:rsid w:val="00996F1E"/>
    <w:rsid w:val="009B44D8"/>
    <w:rsid w:val="009C2A9A"/>
    <w:rsid w:val="009C5C30"/>
    <w:rsid w:val="009E2E8E"/>
    <w:rsid w:val="009E5339"/>
    <w:rsid w:val="009F74AC"/>
    <w:rsid w:val="00A0001E"/>
    <w:rsid w:val="00A01B69"/>
    <w:rsid w:val="00A07E71"/>
    <w:rsid w:val="00A12459"/>
    <w:rsid w:val="00A33A46"/>
    <w:rsid w:val="00A33F2B"/>
    <w:rsid w:val="00A354FE"/>
    <w:rsid w:val="00A4536F"/>
    <w:rsid w:val="00A472F3"/>
    <w:rsid w:val="00A5522E"/>
    <w:rsid w:val="00A60344"/>
    <w:rsid w:val="00A64368"/>
    <w:rsid w:val="00A66528"/>
    <w:rsid w:val="00A7188C"/>
    <w:rsid w:val="00A72B21"/>
    <w:rsid w:val="00A80AA2"/>
    <w:rsid w:val="00A8426C"/>
    <w:rsid w:val="00A86BB7"/>
    <w:rsid w:val="00A9104A"/>
    <w:rsid w:val="00AA57EE"/>
    <w:rsid w:val="00AA691A"/>
    <w:rsid w:val="00AB12B6"/>
    <w:rsid w:val="00AB1877"/>
    <w:rsid w:val="00AB187A"/>
    <w:rsid w:val="00AB3E08"/>
    <w:rsid w:val="00AC0CD5"/>
    <w:rsid w:val="00AC0F6B"/>
    <w:rsid w:val="00AC257B"/>
    <w:rsid w:val="00AC3032"/>
    <w:rsid w:val="00AC6045"/>
    <w:rsid w:val="00AD3575"/>
    <w:rsid w:val="00AE0A65"/>
    <w:rsid w:val="00AF4684"/>
    <w:rsid w:val="00B04A3E"/>
    <w:rsid w:val="00B100D3"/>
    <w:rsid w:val="00B11AB3"/>
    <w:rsid w:val="00B1226C"/>
    <w:rsid w:val="00B12A12"/>
    <w:rsid w:val="00B13449"/>
    <w:rsid w:val="00B13E13"/>
    <w:rsid w:val="00B20966"/>
    <w:rsid w:val="00B24623"/>
    <w:rsid w:val="00B32849"/>
    <w:rsid w:val="00B45977"/>
    <w:rsid w:val="00B566A6"/>
    <w:rsid w:val="00B57226"/>
    <w:rsid w:val="00B62049"/>
    <w:rsid w:val="00B651ED"/>
    <w:rsid w:val="00B713FC"/>
    <w:rsid w:val="00B73560"/>
    <w:rsid w:val="00B80F4F"/>
    <w:rsid w:val="00B90778"/>
    <w:rsid w:val="00BA3C0A"/>
    <w:rsid w:val="00BA6EC5"/>
    <w:rsid w:val="00BB3526"/>
    <w:rsid w:val="00BC2A4F"/>
    <w:rsid w:val="00BC4C0C"/>
    <w:rsid w:val="00BF2208"/>
    <w:rsid w:val="00BF4C76"/>
    <w:rsid w:val="00BF63BC"/>
    <w:rsid w:val="00C052F9"/>
    <w:rsid w:val="00C11992"/>
    <w:rsid w:val="00C11A9D"/>
    <w:rsid w:val="00C2119D"/>
    <w:rsid w:val="00C25F23"/>
    <w:rsid w:val="00C26CA4"/>
    <w:rsid w:val="00C32A43"/>
    <w:rsid w:val="00C375D0"/>
    <w:rsid w:val="00C41182"/>
    <w:rsid w:val="00C44F1E"/>
    <w:rsid w:val="00C4556D"/>
    <w:rsid w:val="00C4640E"/>
    <w:rsid w:val="00C54588"/>
    <w:rsid w:val="00C55F9D"/>
    <w:rsid w:val="00C62714"/>
    <w:rsid w:val="00C66956"/>
    <w:rsid w:val="00C74134"/>
    <w:rsid w:val="00C74E68"/>
    <w:rsid w:val="00C968CF"/>
    <w:rsid w:val="00C97978"/>
    <w:rsid w:val="00CA5C05"/>
    <w:rsid w:val="00CA69E3"/>
    <w:rsid w:val="00CB338C"/>
    <w:rsid w:val="00CB3632"/>
    <w:rsid w:val="00CC23AF"/>
    <w:rsid w:val="00CD36C9"/>
    <w:rsid w:val="00CD3D6B"/>
    <w:rsid w:val="00CE49F0"/>
    <w:rsid w:val="00CF7812"/>
    <w:rsid w:val="00D01A61"/>
    <w:rsid w:val="00D10A71"/>
    <w:rsid w:val="00D10F0E"/>
    <w:rsid w:val="00D1380F"/>
    <w:rsid w:val="00D175DA"/>
    <w:rsid w:val="00D25752"/>
    <w:rsid w:val="00D316CE"/>
    <w:rsid w:val="00D33744"/>
    <w:rsid w:val="00D372BE"/>
    <w:rsid w:val="00D37531"/>
    <w:rsid w:val="00D432E3"/>
    <w:rsid w:val="00D65D45"/>
    <w:rsid w:val="00D65DA9"/>
    <w:rsid w:val="00D94AC0"/>
    <w:rsid w:val="00D95FF8"/>
    <w:rsid w:val="00D9791C"/>
    <w:rsid w:val="00DA43B2"/>
    <w:rsid w:val="00DC1EAA"/>
    <w:rsid w:val="00DF01F0"/>
    <w:rsid w:val="00DF069B"/>
    <w:rsid w:val="00DF081E"/>
    <w:rsid w:val="00DF5B67"/>
    <w:rsid w:val="00E005AB"/>
    <w:rsid w:val="00E01B2E"/>
    <w:rsid w:val="00E20222"/>
    <w:rsid w:val="00E24A10"/>
    <w:rsid w:val="00E30904"/>
    <w:rsid w:val="00E30B2D"/>
    <w:rsid w:val="00E41C24"/>
    <w:rsid w:val="00E54146"/>
    <w:rsid w:val="00E55880"/>
    <w:rsid w:val="00E71D66"/>
    <w:rsid w:val="00E72856"/>
    <w:rsid w:val="00E779D1"/>
    <w:rsid w:val="00E804F6"/>
    <w:rsid w:val="00E80D76"/>
    <w:rsid w:val="00E84BE0"/>
    <w:rsid w:val="00E90D17"/>
    <w:rsid w:val="00E93760"/>
    <w:rsid w:val="00E96D40"/>
    <w:rsid w:val="00EA1598"/>
    <w:rsid w:val="00EA1D99"/>
    <w:rsid w:val="00EA40C9"/>
    <w:rsid w:val="00EA764D"/>
    <w:rsid w:val="00EB2F82"/>
    <w:rsid w:val="00EB4A8A"/>
    <w:rsid w:val="00EB5AD8"/>
    <w:rsid w:val="00ED2620"/>
    <w:rsid w:val="00EE0210"/>
    <w:rsid w:val="00EE0A8D"/>
    <w:rsid w:val="00EF71DC"/>
    <w:rsid w:val="00F00130"/>
    <w:rsid w:val="00F001A0"/>
    <w:rsid w:val="00F01625"/>
    <w:rsid w:val="00F163FD"/>
    <w:rsid w:val="00F16855"/>
    <w:rsid w:val="00F27B4E"/>
    <w:rsid w:val="00F31235"/>
    <w:rsid w:val="00F31560"/>
    <w:rsid w:val="00F34903"/>
    <w:rsid w:val="00F444BA"/>
    <w:rsid w:val="00F54CAF"/>
    <w:rsid w:val="00F71F5A"/>
    <w:rsid w:val="00F85A21"/>
    <w:rsid w:val="00F95F40"/>
    <w:rsid w:val="00FA3C89"/>
    <w:rsid w:val="00FB02FB"/>
    <w:rsid w:val="00FB40C5"/>
    <w:rsid w:val="00FC2546"/>
    <w:rsid w:val="00FC2B02"/>
    <w:rsid w:val="00FC2E1A"/>
    <w:rsid w:val="00FE3D8E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3449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rsid w:val="00B13449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rsid w:val="00B13449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3449"/>
    <w:rPr>
      <w:u w:val="single"/>
    </w:rPr>
  </w:style>
  <w:style w:type="table" w:customStyle="1" w:styleId="TableNormal">
    <w:name w:val="Table Normal"/>
    <w:rsid w:val="00B134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13449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rsid w:val="00B13449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rsid w:val="00B13449"/>
    <w:pPr>
      <w:numPr>
        <w:numId w:val="1"/>
      </w:numPr>
    </w:pPr>
  </w:style>
  <w:style w:type="character" w:customStyle="1" w:styleId="Brak">
    <w:name w:val="Brak"/>
    <w:rsid w:val="00B13449"/>
  </w:style>
  <w:style w:type="character" w:customStyle="1" w:styleId="Hyperlink0">
    <w:name w:val="Hyperlink.0"/>
    <w:basedOn w:val="Brak"/>
    <w:rsid w:val="00B13449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kapitzlist1">
    <w:name w:val="Akapit z listą1"/>
    <w:basedOn w:val="Normalny"/>
    <w:uiPriority w:val="34"/>
    <w:qFormat/>
    <w:rsid w:val="00C41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  <w:jc w:val="left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6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6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63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6D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kapitzlist1">
    <w:name w:val="Akapit z listą1"/>
    <w:basedOn w:val="Normalny"/>
    <w:uiPriority w:val="34"/>
    <w:qFormat/>
    <w:rsid w:val="00C41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  <w:jc w:val="left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6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6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63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6D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463">
          <w:marLeft w:val="-525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dicover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F57E-F556-4EBC-B04B-20C61CEE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Maron</dc:creator>
  <cp:lastModifiedBy>Agata Piekarz</cp:lastModifiedBy>
  <cp:revision>4</cp:revision>
  <cp:lastPrinted>2017-05-15T08:10:00Z</cp:lastPrinted>
  <dcterms:created xsi:type="dcterms:W3CDTF">2017-05-16T07:34:00Z</dcterms:created>
  <dcterms:modified xsi:type="dcterms:W3CDTF">2017-05-16T08:25:00Z</dcterms:modified>
</cp:coreProperties>
</file>