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32DABB1" w:rsidR="009842D3" w:rsidRPr="00AF3B82" w:rsidRDefault="00ED37E6" w:rsidP="00EA6C41">
      <w:pPr>
        <w:pStyle w:val="Nagwek2"/>
        <w:spacing w:before="840" w:line="240" w:lineRule="auto"/>
        <w:rPr>
          <w:rFonts w:ascii="Trebuchet MS" w:hAnsi="Trebuchet MS"/>
          <w:color w:val="auto"/>
          <w:sz w:val="48"/>
          <w:szCs w:val="48"/>
        </w:rPr>
      </w:pPr>
      <w:r>
        <w:rPr>
          <w:rFonts w:ascii="Trebuchet MS" w:hAnsi="Trebuchet MS"/>
          <w:color w:val="auto"/>
          <w:sz w:val="48"/>
          <w:szCs w:val="48"/>
        </w:rPr>
        <w:t>Itin plonas „Acer“ nešiojamasis žaidimų kompiuteris „Predator Triton 700“ su naujausia „NVIDIA GeForce GTX 1080“ grafikos plokšte</w:t>
      </w:r>
    </w:p>
    <w:p w14:paraId="52AB5C79" w14:textId="39E8534D" w:rsidR="00CD1FC4" w:rsidRPr="00AF3B82" w:rsidRDefault="00387382" w:rsidP="0005791C">
      <w:pPr>
        <w:rPr>
          <w:rFonts w:ascii="Trebuchet MS" w:hAnsi="Trebuchet MS"/>
          <w:color w:val="auto"/>
          <w:sz w:val="32"/>
          <w:szCs w:val="32"/>
        </w:rPr>
      </w:pPr>
      <w:r>
        <w:rPr>
          <w:rFonts w:ascii="Trebuchet MS" w:hAnsi="Trebuchet MS"/>
          <w:color w:val="auto"/>
          <w:sz w:val="32"/>
          <w:szCs w:val="32"/>
        </w:rPr>
        <w:t xml:space="preserve">Pažangios šilumos kontrolės technologijos, nepriekaištingas veikimas ir patogumas nešiotis </w:t>
      </w:r>
    </w:p>
    <w:p w14:paraId="5385702E" w14:textId="1139E8A3" w:rsidR="0012031E" w:rsidRPr="00AF3B82" w:rsidRDefault="00B6173E" w:rsidP="00E56884">
      <w:pPr>
        <w:spacing w:before="480" w:after="0" w:line="360" w:lineRule="auto"/>
        <w:rPr>
          <w:color w:val="auto"/>
        </w:rPr>
      </w:pPr>
      <w:r>
        <w:rPr>
          <w:rStyle w:val="Nagwek3Znak"/>
          <w:rFonts w:ascii="Trebuchet MS" w:hAnsi="Trebuchet MS"/>
          <w:b/>
          <w:color w:val="auto"/>
          <w:sz w:val="22"/>
          <w:szCs w:val="22"/>
        </w:rPr>
        <w:t>TAIPĖJUS, TAIVANAS (</w:t>
      </w:r>
      <w:r>
        <w:rPr>
          <w:rFonts w:ascii="Trebuchet MS" w:hAnsi="Trebuchet MS"/>
          <w:b/>
          <w:color w:val="auto"/>
          <w:sz w:val="22"/>
          <w:szCs w:val="22"/>
        </w:rPr>
        <w:t>2017 m.</w:t>
      </w:r>
      <w:r>
        <w:rPr>
          <w:rFonts w:ascii="Trebuchet MS" w:hAnsi="Trebuchet MS"/>
          <w:b/>
          <w:bCs/>
          <w:color w:val="auto"/>
          <w:sz w:val="22"/>
          <w:szCs w:val="22"/>
        </w:rPr>
        <w:t xml:space="preserve"> </w:t>
      </w:r>
      <w:r>
        <w:rPr>
          <w:rStyle w:val="Nagwek3Znak"/>
          <w:rFonts w:ascii="Trebuchet MS" w:hAnsi="Trebuchet MS"/>
          <w:b/>
          <w:color w:val="auto"/>
          <w:sz w:val="22"/>
          <w:szCs w:val="22"/>
        </w:rPr>
        <w:t>gegužės 30 d.)</w:t>
      </w:r>
      <w:r>
        <w:rPr>
          <w:rFonts w:ascii="Trebuchet MS" w:hAnsi="Trebuchet MS"/>
          <w:color w:val="auto"/>
          <w:sz w:val="22"/>
          <w:szCs w:val="22"/>
        </w:rPr>
        <w:t xml:space="preserve"> Pagaliau pasirodė nekantriai lauktas, su dideliu pasididžiavimu „Acer Computex Taipei“ pristatomas nešiojamasis žaidimų kompiuteris „Predator Triton 700“, kuris išsiskiria itin glotnaus dizaino korpusu, moderniausiomis grafikos plokštėmis, procesoriais bei pažangiausiomis šilumos kontrolės technologijomis.</w:t>
      </w:r>
      <w:r>
        <w:rPr>
          <w:color w:val="auto"/>
        </w:rPr>
        <w:t xml:space="preserve"> </w:t>
      </w:r>
    </w:p>
    <w:p w14:paraId="2E0ED68E" w14:textId="5399E95F" w:rsidR="00E56884" w:rsidRPr="00AF3B82" w:rsidRDefault="0093222E" w:rsidP="0012031E">
      <w:pPr>
        <w:spacing w:before="240" w:after="0" w:line="360" w:lineRule="auto"/>
        <w:rPr>
          <w:rFonts w:ascii="Trebuchet MS" w:hAnsi="Trebuchet MS"/>
          <w:color w:val="auto"/>
          <w:sz w:val="22"/>
          <w:szCs w:val="22"/>
        </w:rPr>
      </w:pPr>
      <w:r>
        <w:rPr>
          <w:rFonts w:ascii="Trebuchet MS" w:hAnsi="Trebuchet MS"/>
          <w:color w:val="auto"/>
          <w:sz w:val="22"/>
          <w:szCs w:val="22"/>
        </w:rPr>
        <w:t>Grakščiame 18,9 mm storio „Predator Triton 700“ aliuminio korpuse įmontuota itin naši „NVIDIA</w:t>
      </w:r>
      <w:r>
        <w:rPr>
          <w:rFonts w:ascii="Trebuchet MS" w:hAnsi="Trebuchet MS"/>
          <w:color w:val="auto"/>
          <w:sz w:val="22"/>
          <w:szCs w:val="22"/>
          <w:vertAlign w:val="superscript"/>
        </w:rPr>
        <w:t>®</w:t>
      </w:r>
      <w:r>
        <w:rPr>
          <w:rFonts w:ascii="Trebuchet MS" w:hAnsi="Trebuchet MS"/>
          <w:color w:val="auto"/>
          <w:sz w:val="22"/>
          <w:szCs w:val="22"/>
        </w:rPr>
        <w:t xml:space="preserve"> GeForce</w:t>
      </w:r>
      <w:r>
        <w:rPr>
          <w:rFonts w:ascii="Trebuchet MS" w:hAnsi="Trebuchet MS"/>
          <w:color w:val="auto"/>
          <w:sz w:val="22"/>
          <w:szCs w:val="22"/>
          <w:vertAlign w:val="superscript"/>
        </w:rPr>
        <w:t>®</w:t>
      </w:r>
      <w:r>
        <w:rPr>
          <w:rFonts w:ascii="Trebuchet MS" w:hAnsi="Trebuchet MS"/>
          <w:color w:val="auto"/>
          <w:sz w:val="22"/>
          <w:szCs w:val="22"/>
        </w:rPr>
        <w:t xml:space="preserve"> GTX 1080“ grafikos plokštė (spartinamoji), standartinės įtampos 7-osios kartos „Intel</w:t>
      </w:r>
      <w:r>
        <w:rPr>
          <w:rFonts w:ascii="Trebuchet MS" w:hAnsi="Trebuchet MS"/>
          <w:color w:val="auto"/>
          <w:sz w:val="22"/>
          <w:szCs w:val="22"/>
          <w:vertAlign w:val="superscript"/>
        </w:rPr>
        <w:t>®</w:t>
      </w:r>
      <w:r>
        <w:rPr>
          <w:rFonts w:ascii="Trebuchet MS" w:hAnsi="Trebuchet MS"/>
          <w:color w:val="auto"/>
          <w:sz w:val="22"/>
          <w:szCs w:val="22"/>
        </w:rPr>
        <w:t> Core</w:t>
      </w:r>
      <w:r>
        <w:rPr>
          <w:rFonts w:ascii="Trebuchet MS" w:hAnsi="Trebuchet MS"/>
          <w:color w:val="auto"/>
          <w:sz w:val="22"/>
          <w:szCs w:val="22"/>
          <w:vertAlign w:val="superscript"/>
        </w:rPr>
        <w:t>™</w:t>
      </w:r>
      <w:r>
        <w:rPr>
          <w:rFonts w:ascii="Trebuchet MS" w:hAnsi="Trebuchet MS"/>
          <w:color w:val="auto"/>
          <w:sz w:val="22"/>
          <w:szCs w:val="22"/>
        </w:rPr>
        <w:t xml:space="preserve">“ procesorius ir kompaktiški metaliniai ventiliatoriai su viena pirmaujančių rinkoje „Acer“ </w:t>
      </w:r>
      <w:hyperlink r:id="rId8" w:history="1">
        <w:r>
          <w:rPr>
            <w:rStyle w:val="Hipercze"/>
            <w:rFonts w:ascii="Trebuchet MS" w:hAnsi="Trebuchet MS"/>
            <w:color w:val="auto"/>
            <w:sz w:val="22"/>
            <w:szCs w:val="22"/>
          </w:rPr>
          <w:t>AeroBlade</w:t>
        </w:r>
        <w:r>
          <w:rPr>
            <w:rStyle w:val="Hipercze"/>
            <w:rFonts w:ascii="Trebuchet MS" w:hAnsi="Trebuchet MS"/>
            <w:color w:val="auto"/>
            <w:sz w:val="22"/>
            <w:szCs w:val="22"/>
            <w:vertAlign w:val="superscript"/>
          </w:rPr>
          <w:t>™</w:t>
        </w:r>
        <w:r>
          <w:rPr>
            <w:rStyle w:val="Hipercze"/>
            <w:rFonts w:ascii="Trebuchet MS" w:hAnsi="Trebuchet MS"/>
            <w:color w:val="auto"/>
            <w:sz w:val="22"/>
            <w:szCs w:val="22"/>
          </w:rPr>
          <w:t xml:space="preserve"> 3D</w:t>
        </w:r>
      </w:hyperlink>
      <w:r>
        <w:rPr>
          <w:rFonts w:ascii="Trebuchet MS" w:hAnsi="Trebuchet MS"/>
          <w:color w:val="auto"/>
          <w:sz w:val="22"/>
          <w:szCs w:val="22"/>
        </w:rPr>
        <w:t xml:space="preserve"> technologija, dėl kurios oro srautas yra net 35 % didesnis</w:t>
      </w:r>
      <w:r w:rsidRPr="00AF3B82">
        <w:rPr>
          <w:rStyle w:val="Odwoanieprzypisukocowego"/>
          <w:rFonts w:ascii="Trebuchet MS" w:hAnsi="Trebuchet MS"/>
          <w:color w:val="auto"/>
          <w:sz w:val="22"/>
          <w:szCs w:val="22"/>
        </w:rPr>
        <w:endnoteReference w:id="1"/>
      </w:r>
      <w:r>
        <w:rPr>
          <w:rFonts w:ascii="Trebuchet MS" w:hAnsi="Trebuchet MS"/>
          <w:color w:val="auto"/>
          <w:sz w:val="22"/>
          <w:szCs w:val="22"/>
        </w:rPr>
        <w:t>. Du RAID 0 konfigūracijos „NVMe PCIe“ SSD atminties moduliai</w:t>
      </w:r>
      <w:r w:rsidR="00AF3B82" w:rsidRPr="00AF3B82">
        <w:rPr>
          <w:rStyle w:val="Odwoanieprzypisukocowego"/>
          <w:rFonts w:ascii="Trebuchet MS" w:hAnsi="Trebuchet MS"/>
          <w:color w:val="auto"/>
          <w:sz w:val="22"/>
          <w:szCs w:val="22"/>
        </w:rPr>
        <w:endnoteReference w:id="2"/>
      </w:r>
      <w:r>
        <w:rPr>
          <w:rFonts w:ascii="Trebuchet MS" w:hAnsi="Trebuchet MS"/>
          <w:color w:val="auto"/>
          <w:sz w:val="22"/>
          <w:szCs w:val="22"/>
        </w:rPr>
        <w:t xml:space="preserve"> kartu su iki 32 GB talpos DDR4 2400 MHz atminties moduliu užtikrina nepriekaištingą sistemos veikimą.</w:t>
      </w:r>
    </w:p>
    <w:p w14:paraId="1C713C64" w14:textId="7AAA0E4D" w:rsidR="0093222E" w:rsidRPr="00AF3B82" w:rsidRDefault="0093222E" w:rsidP="0012031E">
      <w:pPr>
        <w:spacing w:before="240" w:after="0" w:line="360" w:lineRule="auto"/>
        <w:rPr>
          <w:color w:val="auto"/>
        </w:rPr>
      </w:pPr>
    </w:p>
    <w:p w14:paraId="0AFE6DD9" w14:textId="136523E3" w:rsidR="00AF3B82" w:rsidRPr="00AF3B82" w:rsidRDefault="00AF3B82" w:rsidP="00AF3B82">
      <w:pPr>
        <w:spacing w:before="240" w:after="0" w:line="360" w:lineRule="auto"/>
        <w:rPr>
          <w:rFonts w:ascii="Trebuchet MS" w:hAnsi="Trebuchet MS"/>
          <w:color w:val="auto"/>
          <w:sz w:val="22"/>
          <w:szCs w:val="22"/>
        </w:rPr>
      </w:pPr>
      <w:r>
        <w:rPr>
          <w:rFonts w:ascii="Trebuchet MS" w:hAnsi="Trebuchet MS"/>
          <w:color w:val="auto"/>
          <w:sz w:val="22"/>
          <w:szCs w:val="22"/>
        </w:rPr>
        <w:t>Gyvi ir ryškūs vaizdai 15,6 colio raiškiajame „Predator Triton 700“ IPS ekrane sukuria išties tikrovišką virtualiosios realybės efektą, be to ekranas palaiko nepaprastai sklandų žaidimą užtikrinančią „NVIDIA</w:t>
      </w:r>
      <w:r>
        <w:rPr>
          <w:rFonts w:ascii="Trebuchet MS" w:hAnsi="Trebuchet MS"/>
          <w:color w:val="auto"/>
          <w:sz w:val="22"/>
          <w:szCs w:val="22"/>
          <w:vertAlign w:val="superscript"/>
        </w:rPr>
        <w:t>®</w:t>
      </w:r>
      <w:r>
        <w:rPr>
          <w:rFonts w:ascii="Trebuchet MS" w:hAnsi="Trebuchet MS"/>
          <w:color w:val="auto"/>
          <w:sz w:val="22"/>
          <w:szCs w:val="22"/>
        </w:rPr>
        <w:t xml:space="preserve"> G-SYNC</w:t>
      </w:r>
      <w:r>
        <w:rPr>
          <w:rFonts w:ascii="Trebuchet MS" w:hAnsi="Trebuchet MS"/>
          <w:color w:val="auto"/>
          <w:sz w:val="22"/>
          <w:szCs w:val="22"/>
          <w:vertAlign w:val="superscript"/>
        </w:rPr>
        <w:t>™</w:t>
      </w:r>
      <w:r>
        <w:rPr>
          <w:rFonts w:ascii="Trebuchet MS" w:hAnsi="Trebuchet MS"/>
          <w:color w:val="auto"/>
          <w:sz w:val="22"/>
          <w:szCs w:val="22"/>
        </w:rPr>
        <w:t>“ technologiją. Erdvinio garso efektą kurianti „Dolby Atoms</w:t>
      </w:r>
      <w:r>
        <w:rPr>
          <w:rFonts w:ascii="Trebuchet MS" w:hAnsi="Trebuchet MS"/>
          <w:color w:val="auto"/>
          <w:sz w:val="22"/>
          <w:szCs w:val="22"/>
          <w:vertAlign w:val="superscript"/>
        </w:rPr>
        <w:t>®</w:t>
      </w:r>
      <w:r>
        <w:rPr>
          <w:rFonts w:ascii="Trebuchet MS" w:hAnsi="Trebuchet MS"/>
          <w:color w:val="auto"/>
          <w:sz w:val="22"/>
          <w:szCs w:val="22"/>
        </w:rPr>
        <w:t>“, veikdama išvien su „Acer TrueHarmony</w:t>
      </w:r>
      <w:r>
        <w:rPr>
          <w:rFonts w:ascii="Trebuchet MS" w:hAnsi="Trebuchet MS"/>
          <w:color w:val="auto"/>
          <w:sz w:val="22"/>
          <w:szCs w:val="22"/>
          <w:vertAlign w:val="superscript"/>
        </w:rPr>
        <w:t>™</w:t>
      </w:r>
      <w:r>
        <w:rPr>
          <w:rFonts w:ascii="Trebuchet MS" w:hAnsi="Trebuchet MS"/>
          <w:color w:val="auto"/>
          <w:sz w:val="22"/>
          <w:szCs w:val="22"/>
        </w:rPr>
        <w:t>“ technologija, žaidžiant leidžia pasinerti į švarią, sodrią akustinę gelmę, o bendraujant per „Skype for Business“ – girdėti pašnekovus aiškiai, be vėlavimo.</w:t>
      </w:r>
    </w:p>
    <w:p w14:paraId="5DC8DEF1" w14:textId="755FE66B" w:rsidR="00AF3B82" w:rsidRPr="00AF3B82" w:rsidRDefault="00AF3B82" w:rsidP="00AF3B82">
      <w:pPr>
        <w:spacing w:before="240" w:after="0" w:line="360" w:lineRule="auto"/>
        <w:rPr>
          <w:rFonts w:ascii="Trebuchet MS" w:hAnsi="Trebuchet MS"/>
          <w:color w:val="auto"/>
          <w:sz w:val="22"/>
          <w:szCs w:val="22"/>
        </w:rPr>
      </w:pPr>
      <w:r>
        <w:rPr>
          <w:rFonts w:ascii="Trebuchet MS" w:hAnsi="Trebuchet MS"/>
          <w:color w:val="auto"/>
          <w:sz w:val="22"/>
          <w:szCs w:val="22"/>
        </w:rPr>
        <w:t>Dar pora galingų funkcijų, kurių negalima nepaminėti – tai darbo tinkle funkcija „Killer DoubleShot</w:t>
      </w:r>
      <w:r>
        <w:rPr>
          <w:rFonts w:ascii="Trebuchet MS" w:hAnsi="Trebuchet MS"/>
          <w:color w:val="auto"/>
          <w:sz w:val="22"/>
          <w:szCs w:val="22"/>
          <w:vertAlign w:val="superscript"/>
        </w:rPr>
        <w:t xml:space="preserve">™ </w:t>
      </w:r>
      <w:r>
        <w:rPr>
          <w:rFonts w:ascii="Trebuchet MS" w:hAnsi="Trebuchet MS"/>
          <w:color w:val="auto"/>
          <w:sz w:val="22"/>
          <w:szCs w:val="22"/>
        </w:rPr>
        <w:t>Pro“ ir ryšio funkcija „Thunderbolt</w:t>
      </w:r>
      <w:r>
        <w:rPr>
          <w:rFonts w:ascii="Trebuchet MS" w:hAnsi="Trebuchet MS"/>
          <w:color w:val="auto"/>
          <w:sz w:val="22"/>
          <w:szCs w:val="22"/>
          <w:vertAlign w:val="superscript"/>
        </w:rPr>
        <w:t>™</w:t>
      </w:r>
      <w:r>
        <w:rPr>
          <w:rFonts w:ascii="Trebuchet MS" w:hAnsi="Trebuchet MS"/>
          <w:color w:val="auto"/>
          <w:sz w:val="22"/>
          <w:szCs w:val="22"/>
        </w:rPr>
        <w:t xml:space="preserve"> 3“. Pastaroji palaiko net iki 40 Gb/s greitį ir dvigubą 4K vaizdo išvestį. Kitos „Predator Triton 700“ jungtys: du USB 3.0 prievadai (galimybė </w:t>
      </w:r>
      <w:r>
        <w:rPr>
          <w:rFonts w:ascii="Trebuchet MS" w:hAnsi="Trebuchet MS"/>
          <w:color w:val="auto"/>
          <w:sz w:val="22"/>
          <w:szCs w:val="22"/>
        </w:rPr>
        <w:lastRenderedPageBreak/>
        <w:t>USB laidu įkrauti išjungtą įrenginį), USB 2.0 prievadas, HDMI 2.0 prievadas, jungtis „DisplayPort“ ir gigabitinio eterneto prievadas teikiantiems pirmenybę laidiniam ryšiui. Sklandų darbą tinkle garantuoja „Killer DoubleShot</w:t>
      </w:r>
      <w:r>
        <w:rPr>
          <w:rFonts w:ascii="Trebuchet MS" w:hAnsi="Trebuchet MS"/>
          <w:color w:val="auto"/>
          <w:sz w:val="22"/>
          <w:szCs w:val="22"/>
          <w:vertAlign w:val="superscript"/>
        </w:rPr>
        <w:t>™</w:t>
      </w:r>
      <w:r>
        <w:rPr>
          <w:rFonts w:ascii="Trebuchet MS" w:hAnsi="Trebuchet MS"/>
          <w:color w:val="auto"/>
          <w:sz w:val="22"/>
          <w:szCs w:val="22"/>
        </w:rPr>
        <w:t xml:space="preserve"> Pro“ technologija, kuri parenka sparčiausią ryšį (eterneto ar belaidį) ir juo nukreipia visą pirmenybinį duomenų srautą, tuo tarpu įprastą srautą siųsdama lėtesniąja sąsaja.</w:t>
      </w:r>
    </w:p>
    <w:p w14:paraId="50D467C6" w14:textId="5E75F2AD" w:rsidR="00EF3049" w:rsidRPr="00AF3B82" w:rsidRDefault="00EF3049" w:rsidP="00EF3049">
      <w:pPr>
        <w:spacing w:before="240" w:after="0" w:line="360" w:lineRule="auto"/>
        <w:rPr>
          <w:rFonts w:ascii="Trebuchet MS" w:hAnsi="Trebuchet MS"/>
          <w:color w:val="auto"/>
          <w:sz w:val="22"/>
          <w:szCs w:val="22"/>
        </w:rPr>
      </w:pPr>
      <w:r>
        <w:rPr>
          <w:rFonts w:ascii="Trebuchet MS" w:hAnsi="Trebuchet MS"/>
          <w:color w:val="auto"/>
          <w:sz w:val="22"/>
          <w:szCs w:val="22"/>
        </w:rPr>
        <w:t>„Predator Triton 700“, pirmasis itin plonas nešiojamasis žaidimų kompiuteris iš „Predator Triton“ šeimos, yra minimalistinio dizaino, subtiliu juodu korpusu tiesiais kontūrais ir užaštrintais priekiniais kampais. Per didelę virš klaviatūros esančią stiklinę „Corning</w:t>
      </w:r>
      <w:r>
        <w:rPr>
          <w:rFonts w:ascii="Trebuchet MS" w:hAnsi="Trebuchet MS"/>
          <w:color w:val="auto"/>
          <w:sz w:val="22"/>
          <w:szCs w:val="22"/>
          <w:vertAlign w:val="superscript"/>
        </w:rPr>
        <w:t>®</w:t>
      </w:r>
      <w:r>
        <w:rPr>
          <w:rFonts w:ascii="Trebuchet MS" w:hAnsi="Trebuchet MS"/>
          <w:color w:val="auto"/>
          <w:sz w:val="22"/>
          <w:szCs w:val="22"/>
        </w:rPr>
        <w:t xml:space="preserve"> Gorilla</w:t>
      </w:r>
      <w:r>
        <w:rPr>
          <w:rFonts w:ascii="Trebuchet MS" w:hAnsi="Trebuchet MS"/>
          <w:color w:val="auto"/>
          <w:sz w:val="22"/>
          <w:szCs w:val="22"/>
          <w:vertAlign w:val="superscript"/>
        </w:rPr>
        <w:t>®</w:t>
      </w:r>
      <w:r>
        <w:rPr>
          <w:rFonts w:ascii="Trebuchet MS" w:hAnsi="Trebuchet MS"/>
          <w:color w:val="auto"/>
          <w:sz w:val="22"/>
          <w:szCs w:val="22"/>
        </w:rPr>
        <w:t xml:space="preserve">“ plokštelę matyti nešiojamojo kompiuterio aušinimo sistema, kurią sudaro „AeroBlade™ 3D“ ventiliatorius ir šilumos vamzdeliai. Ją galima naudoti ir kaip jutiklinį kilimėlį „Precision“. </w:t>
      </w:r>
    </w:p>
    <w:p w14:paraId="7E1DBDD5" w14:textId="77777777" w:rsidR="00AF3B82" w:rsidRPr="00AF3B82" w:rsidRDefault="00AF3B82" w:rsidP="00AF3B82">
      <w:pPr>
        <w:spacing w:before="240" w:after="0" w:line="360" w:lineRule="auto"/>
        <w:rPr>
          <w:rFonts w:ascii="Trebuchet MS" w:hAnsi="Trebuchet MS"/>
          <w:color w:val="auto"/>
          <w:sz w:val="22"/>
          <w:szCs w:val="22"/>
        </w:rPr>
      </w:pPr>
      <w:r>
        <w:rPr>
          <w:rFonts w:ascii="Trebuchet MS" w:hAnsi="Trebuchet MS"/>
          <w:color w:val="auto"/>
          <w:sz w:val="22"/>
          <w:szCs w:val="22"/>
        </w:rPr>
        <w:t>Žinoma, nė vienas nešiojamasis žaidimų kompiuteris nėra visavertis be mechaninės klaviatūros, patogios spausdinti ir greitai bei tiksliai reaguojančios. Jos klavišai yra su foniniu RŽM apšvietimu (programuotinu kiekvienam atskirai).</w:t>
      </w:r>
    </w:p>
    <w:p w14:paraId="6126139B" w14:textId="5C92329B" w:rsidR="006E324C" w:rsidRPr="00AF3B82" w:rsidRDefault="00AF3B82" w:rsidP="004D47A2">
      <w:pPr>
        <w:spacing w:before="240" w:after="0" w:line="360" w:lineRule="auto"/>
        <w:rPr>
          <w:rFonts w:ascii="Trebuchet MS" w:hAnsi="Trebuchet MS"/>
          <w:color w:val="auto"/>
          <w:sz w:val="22"/>
          <w:szCs w:val="22"/>
        </w:rPr>
      </w:pPr>
      <w:r>
        <w:rPr>
          <w:rFonts w:ascii="Trebuchet MS" w:hAnsi="Trebuchet MS"/>
          <w:color w:val="auto"/>
          <w:sz w:val="22"/>
          <w:szCs w:val="22"/>
        </w:rPr>
        <w:t>Naudodamiesi programine įranga „PredatorSense“ žaidėjai gali per vieną sąsają valdyti ir tinkinti bazines „Predator Triton 700“ funkcijas, įskaitant apšvietimo, sparčiųjų klavišų, ventiliatoriaus valdymo ir bendrosios sistemos stebėsenos.</w:t>
      </w:r>
    </w:p>
    <w:p w14:paraId="5C5B9A94" w14:textId="77777777" w:rsidR="00AF3B82" w:rsidRPr="00AF3B82" w:rsidRDefault="00AF3B82" w:rsidP="00AF3B82">
      <w:pPr>
        <w:spacing w:before="240" w:after="0"/>
        <w:rPr>
          <w:rFonts w:ascii="Trebuchet MS" w:hAnsi="Trebuchet MS"/>
          <w:b/>
          <w:color w:val="auto"/>
          <w:sz w:val="24"/>
          <w:szCs w:val="24"/>
        </w:rPr>
      </w:pPr>
      <w:r>
        <w:rPr>
          <w:rFonts w:ascii="Trebuchet MS" w:hAnsi="Trebuchet MS"/>
          <w:b/>
          <w:color w:val="auto"/>
          <w:sz w:val="24"/>
          <w:szCs w:val="24"/>
        </w:rPr>
        <w:t>Kaina ir prieinamumas</w:t>
      </w:r>
    </w:p>
    <w:p w14:paraId="41460E5C" w14:textId="77777777" w:rsidR="00AF3B82" w:rsidRPr="00AF3B82" w:rsidRDefault="00AF3B82" w:rsidP="00AF3B82">
      <w:pPr>
        <w:spacing w:before="240" w:after="0" w:line="360" w:lineRule="auto"/>
        <w:rPr>
          <w:rFonts w:ascii="Trebuchet MS" w:hAnsi="Trebuchet MS"/>
          <w:color w:val="auto"/>
          <w:sz w:val="22"/>
          <w:szCs w:val="22"/>
        </w:rPr>
      </w:pPr>
      <w:r>
        <w:rPr>
          <w:rFonts w:ascii="Trebuchet MS" w:hAnsi="Trebuchet MS"/>
          <w:color w:val="auto"/>
          <w:sz w:val="22"/>
          <w:szCs w:val="22"/>
        </w:rPr>
        <w:t>Šiaurės Amerikoje bei Europos, Vidurio Rytų ir Afrikos (EMEA) regione nešiojamuoju žaidimų kompiuteriu „Predator Triton 700“ bus prekiaujama nuo rugpjūčio mėnesio (kaina atitinkamai nuo 2 999 USD ir nuo 3 399 EUR).</w:t>
      </w:r>
    </w:p>
    <w:p w14:paraId="7646B018" w14:textId="37A1BD28" w:rsidR="00714DA5" w:rsidRPr="00AF3B82" w:rsidRDefault="00AF3B82" w:rsidP="00AF3B82">
      <w:pPr>
        <w:spacing w:before="240" w:after="0" w:line="360" w:lineRule="auto"/>
        <w:rPr>
          <w:rFonts w:ascii="Trebuchet MS" w:hAnsi="Trebuchet MS"/>
          <w:color w:val="auto"/>
          <w:sz w:val="22"/>
          <w:szCs w:val="22"/>
        </w:rPr>
      </w:pPr>
      <w:r>
        <w:rPr>
          <w:rFonts w:ascii="Trebuchet MS" w:hAnsi="Trebuchet MS"/>
          <w:color w:val="auto"/>
          <w:sz w:val="22"/>
          <w:szCs w:val="22"/>
        </w:rPr>
        <w:t xml:space="preserve">Tikslūs techniniai duomenys, kaina ir prieinamumas priklauso nuo regiono. Daugiau informacijos apie gaminio prieinamumą, techninius duomenis ir kainą konkrečioje rinkoje teiraukitės artimiausiame „Acer“ biure, kurio kontaktinius duomenis rasite interneto svetainėje </w:t>
      </w:r>
      <w:hyperlink r:id="rId9" w:history="1">
        <w:r>
          <w:rPr>
            <w:rStyle w:val="Hipercze"/>
            <w:rFonts w:ascii="Trebuchet MS" w:hAnsi="Trebuchet MS"/>
            <w:color w:val="auto"/>
            <w:sz w:val="22"/>
            <w:szCs w:val="22"/>
          </w:rPr>
          <w:t>www.acer.com</w:t>
        </w:r>
      </w:hyperlink>
      <w:r>
        <w:rPr>
          <w:rFonts w:ascii="Trebuchet MS" w:hAnsi="Trebuchet MS"/>
          <w:color w:val="auto"/>
          <w:sz w:val="22"/>
          <w:szCs w:val="22"/>
        </w:rPr>
        <w:t>.</w:t>
      </w:r>
    </w:p>
    <w:p w14:paraId="2D8E7B65" w14:textId="347E6E51" w:rsidR="00714DA5" w:rsidRPr="00AF3B82" w:rsidRDefault="00714DA5">
      <w:pPr>
        <w:spacing w:after="200" w:line="276" w:lineRule="auto"/>
        <w:rPr>
          <w:rFonts w:ascii="Trebuchet MS" w:hAnsi="Trebuchet MS"/>
          <w:color w:val="auto"/>
          <w:sz w:val="22"/>
          <w:szCs w:val="22"/>
        </w:rPr>
      </w:pPr>
    </w:p>
    <w:p w14:paraId="022564EC" w14:textId="520EA3DE" w:rsidR="00CD1FC4" w:rsidRPr="00AF3B82" w:rsidRDefault="00714DA5" w:rsidP="0005791C">
      <w:pPr>
        <w:spacing w:before="240" w:after="0" w:line="360" w:lineRule="auto"/>
        <w:jc w:val="both"/>
        <w:rPr>
          <w:rFonts w:ascii="Trebuchet MS" w:hAnsi="Trebuchet MS"/>
          <w:b/>
          <w:color w:val="auto"/>
          <w:sz w:val="20"/>
        </w:rPr>
      </w:pPr>
      <w:r>
        <w:rPr>
          <w:rFonts w:ascii="Trebuchet MS" w:hAnsi="Trebuchet MS"/>
          <w:b/>
          <w:color w:val="auto"/>
          <w:sz w:val="20"/>
        </w:rPr>
        <w:t>Apie bendrovę „Acer“</w:t>
      </w:r>
    </w:p>
    <w:p w14:paraId="7C781B29" w14:textId="6F61C666" w:rsidR="00F944F5" w:rsidRPr="00AF3B82" w:rsidRDefault="00BC5B1E" w:rsidP="00F944F5">
      <w:pPr>
        <w:spacing w:before="240"/>
        <w:rPr>
          <w:rFonts w:ascii="Trebuchet MS" w:hAnsi="Trebuchet MS"/>
          <w:color w:val="auto"/>
          <w:sz w:val="18"/>
          <w:szCs w:val="18"/>
        </w:rPr>
      </w:pPr>
      <w:r>
        <w:rPr>
          <w:rFonts w:ascii="Trebuchet MS" w:hAnsi="Trebuchet MS"/>
          <w:color w:val="auto"/>
          <w:sz w:val="18"/>
          <w:szCs w:val="18"/>
        </w:rPr>
        <w:t xml:space="preserve">Įkurta 1976 m., šiandien „Acer“ yra viena pirmaujančių informacinių ir ryšių technologijų bendrovių pasaulyje, turinti filialus daugiau kaip 160 šalių. Žvelgdama į ateitį, „Acer“ kuria aplinką, kurioje sujungus aparatinę, programinę įrangą bei paslaugas atsivertų naujos galimybės ir verslui, ir privatiems vartotojams. Į paslaugas orientuotų technologijų, daiktų interneto, žaidimų ir virtualiosios realybės srityse daugiau kaip 7 000 bendrovės darbuotojų atsidavę kuria, projektuoja, reklamuoja, parduoda ir palaiko gaminius bei sprendimus, pamažu naikinančius ribas tarp žmonių ir technologijų. Daugiau informacijos rasite interneto svetainėje </w:t>
      </w:r>
      <w:hyperlink r:id="rId10" w:history="1">
        <w:r>
          <w:rPr>
            <w:rStyle w:val="Hipercze"/>
            <w:rFonts w:ascii="Trebuchet MS" w:hAnsi="Trebuchet MS"/>
            <w:color w:val="auto"/>
            <w:sz w:val="18"/>
            <w:szCs w:val="18"/>
          </w:rPr>
          <w:t>www.acer.com</w:t>
        </w:r>
      </w:hyperlink>
      <w:r>
        <w:t>.</w:t>
      </w:r>
    </w:p>
    <w:p w14:paraId="52AB413E" w14:textId="77777777" w:rsidR="00F944F5" w:rsidRPr="00AF3B82" w:rsidRDefault="00F944F5" w:rsidP="00F944F5">
      <w:pPr>
        <w:spacing w:before="240"/>
        <w:rPr>
          <w:rFonts w:ascii="Calibri" w:hAnsi="Calibri"/>
          <w:color w:val="auto"/>
          <w:sz w:val="22"/>
          <w:szCs w:val="22"/>
        </w:rPr>
      </w:pPr>
    </w:p>
    <w:p w14:paraId="03F6ED06" w14:textId="5B845E28" w:rsidR="00DE32F6" w:rsidRPr="00AF3B82" w:rsidRDefault="00AF3B82" w:rsidP="00DE32F6">
      <w:pPr>
        <w:spacing w:before="240" w:after="0"/>
        <w:rPr>
          <w:rFonts w:ascii="Trebuchet MS" w:hAnsi="Trebuchet MS"/>
          <w:color w:val="auto"/>
          <w:sz w:val="18"/>
          <w:szCs w:val="18"/>
        </w:rPr>
      </w:pPr>
      <w:bookmarkStart w:id="0" w:name="_GoBack"/>
      <w:bookmarkEnd w:id="0"/>
      <w:r>
        <w:rPr>
          <w:rFonts w:ascii="Trebuchet MS" w:hAnsi="Trebuchet MS"/>
          <w:color w:val="auto"/>
          <w:sz w:val="18"/>
          <w:szCs w:val="18"/>
        </w:rPr>
        <w:br/>
      </w:r>
    </w:p>
    <w:p w14:paraId="00868DF2" w14:textId="77777777" w:rsidR="00CD1FC4" w:rsidRPr="00AF3B82" w:rsidRDefault="00CD1FC4" w:rsidP="0005791C">
      <w:pPr>
        <w:spacing w:after="0"/>
        <w:rPr>
          <w:rFonts w:ascii="Trebuchet MS" w:hAnsi="Trebuchet MS"/>
          <w:color w:val="auto"/>
          <w:sz w:val="18"/>
          <w:szCs w:val="18"/>
        </w:rPr>
      </w:pPr>
    </w:p>
    <w:p w14:paraId="2AF84F29" w14:textId="77777777" w:rsidR="00B0482A" w:rsidRPr="00AF3B82" w:rsidRDefault="00B0482A" w:rsidP="0005791C">
      <w:pPr>
        <w:spacing w:after="0"/>
        <w:rPr>
          <w:rFonts w:ascii="Trebuchet MS" w:hAnsi="Trebuchet MS"/>
          <w:color w:val="auto"/>
          <w:sz w:val="18"/>
          <w:szCs w:val="18"/>
        </w:rPr>
      </w:pPr>
    </w:p>
    <w:p w14:paraId="6C291F94" w14:textId="65E6765D" w:rsidR="006B5CD6" w:rsidRPr="00AF3B82" w:rsidRDefault="00577112" w:rsidP="0005791C">
      <w:pPr>
        <w:spacing w:after="0"/>
        <w:jc w:val="both"/>
        <w:rPr>
          <w:rFonts w:ascii="Trebuchet MS" w:hAnsi="Trebuchet MS"/>
          <w:color w:val="auto"/>
          <w:sz w:val="18"/>
          <w:szCs w:val="18"/>
        </w:rPr>
      </w:pPr>
      <w:r>
        <w:rPr>
          <w:rFonts w:ascii="Trebuchet MS" w:hAnsi="Trebuchet MS"/>
          <w:color w:val="auto"/>
          <w:sz w:val="18"/>
          <w:szCs w:val="18"/>
        </w:rPr>
        <w:t>© „Acer Inc.“, 2017. Visos teisės saugomos. Pavadinimas „Acer“ ir „Acer“ logotipas yra registruotieji bendrovės „Acer Inc.“ prekių ženklai. Kiti minimi ar kitaip nurodomi (registruotieji) prekių ir (arba) paslaugų ženklai priklauso atitinkamiems jų savininkams. Visi pasiūlymai gali be jokių įsipareigojimų būti keičiami iš anksto apie tai nepranešus ir gali nebūti taikomi visais pardavimo kanalais. Čia pateikiamos gamintojo rekomenduojamos pardavimo kainos. Jos priklauso nuo prekybos vietos. Taikomas papildomas pardavimo mokestis.</w:t>
      </w:r>
    </w:p>
    <w:p w14:paraId="37F4D0F9" w14:textId="77777777" w:rsidR="000B5DC6" w:rsidRPr="00AF3B82" w:rsidRDefault="000B5DC6" w:rsidP="0005791C">
      <w:pPr>
        <w:spacing w:after="0"/>
        <w:jc w:val="both"/>
        <w:rPr>
          <w:color w:val="auto"/>
          <w:lang w:eastAsia="zh-TW"/>
        </w:rPr>
      </w:pPr>
    </w:p>
    <w:sectPr w:rsidR="000B5DC6" w:rsidRPr="00AF3B82"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48FC4" w14:textId="77777777" w:rsidR="00FB15DB" w:rsidRDefault="00FB15DB" w:rsidP="00DA163B">
      <w:r>
        <w:separator/>
      </w:r>
    </w:p>
  </w:endnote>
  <w:endnote w:type="continuationSeparator" w:id="0">
    <w:p w14:paraId="018C92D3" w14:textId="77777777" w:rsidR="00FB15DB" w:rsidRDefault="00FB15DB" w:rsidP="00DA163B">
      <w:r>
        <w:continuationSeparator/>
      </w:r>
    </w:p>
  </w:endnote>
  <w:endnote w:id="1">
    <w:p w14:paraId="0D6F3651" w14:textId="5D04CE75" w:rsidR="0093222E" w:rsidRPr="00AF3B82" w:rsidRDefault="0093222E">
      <w:pPr>
        <w:pStyle w:val="Tekstprzypisukocowego"/>
        <w:rPr>
          <w:color w:val="auto"/>
        </w:rPr>
      </w:pPr>
      <w:r>
        <w:rPr>
          <w:rStyle w:val="Odwoanieprzypisukocowego"/>
          <w:color w:val="auto"/>
        </w:rPr>
        <w:endnoteRef/>
      </w:r>
      <w:r>
        <w:rPr>
          <w:rFonts w:ascii="Trebuchet MS" w:hAnsi="Trebuchet MS"/>
          <w:color w:val="auto"/>
          <w:sz w:val="17"/>
          <w:szCs w:val="17"/>
        </w:rPr>
        <w:t>Rezultatai gauti atlikus CFM matavimus, kuriems naudoti sintetiniai modeliai</w:t>
      </w:r>
      <w:r>
        <w:rPr>
          <w:color w:val="auto"/>
        </w:rPr>
        <w:t>.</w:t>
      </w:r>
      <w:r>
        <w:rPr>
          <w:rFonts w:ascii="Trebuchet MS" w:hAnsi="Trebuchet MS"/>
          <w:color w:val="auto"/>
          <w:sz w:val="17"/>
          <w:szCs w:val="17"/>
        </w:rPr>
        <w:t xml:space="preserve"> Tikrasis veikimas priklauso nuo modelio.</w:t>
      </w:r>
    </w:p>
  </w:endnote>
  <w:endnote w:id="2">
    <w:p w14:paraId="553C5407" w14:textId="22F84AEA" w:rsidR="00AF3B82" w:rsidRDefault="00AF3B82">
      <w:pPr>
        <w:pStyle w:val="Tekstprzypisukocowego"/>
      </w:pPr>
      <w:r>
        <w:rPr>
          <w:rStyle w:val="Odwoanieprzypisukocowego"/>
          <w:color w:val="auto"/>
        </w:rPr>
        <w:endnoteRef/>
      </w:r>
      <w:r>
        <w:rPr>
          <w:rFonts w:ascii="Trebuchet MS" w:hAnsi="Trebuchet MS"/>
          <w:sz w:val="17"/>
          <w:szCs w:val="17"/>
        </w:rPr>
        <w:t xml:space="preserve">Techniniai </w:t>
      </w:r>
      <w:r>
        <w:rPr>
          <w:rFonts w:ascii="Trebuchet MS" w:hAnsi="Trebuchet MS"/>
          <w:sz w:val="17"/>
          <w:szCs w:val="17"/>
        </w:rPr>
        <w:t>duomenys priklauso nuo modelio ir regiono.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0656CCFF"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A0F48">
      <w:rPr>
        <w:rStyle w:val="Numerstrony"/>
        <w:noProof/>
      </w:rPr>
      <w:t>3</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2D5F" w14:textId="77777777" w:rsidR="00FB15DB" w:rsidRDefault="00FB15DB" w:rsidP="00DA163B"/>
  </w:footnote>
  <w:footnote w:type="continuationSeparator" w:id="0">
    <w:p w14:paraId="51408FAA" w14:textId="77777777" w:rsidR="00FB15DB" w:rsidRDefault="00FB15DB"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Naujienų pranešimas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Heading1"/>
                      <w:jc w:val="right"/>
                      <w:rPr>
                        <w:i w:val="0"/>
                        <w:color w:val="000000"/>
                        <w:sz w:val="28"/>
                        <w:szCs w:val="28"/>
                        <w:rFonts w:ascii="Trebuchet MS" w:hAnsi="Trebuchet MS"/>
                      </w:rPr>
                    </w:pPr>
                    <w:r>
                      <w:rPr>
                        <w:i w:val="0"/>
                        <w:color w:val="000000"/>
                        <w:sz w:val="28"/>
                        <w:szCs w:val="28"/>
                        <w:rFonts w:ascii="Trebuchet MS" w:hAnsi="Trebuchet MS"/>
                      </w:rPr>
                      <w:t xml:space="preserve">Naujienų pranešimas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0F558DC"/>
    <w:multiLevelType w:val="hybridMultilevel"/>
    <w:tmpl w:val="C60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5"/>
    <w:rsid w:val="00002FAB"/>
    <w:rsid w:val="00036793"/>
    <w:rsid w:val="00037437"/>
    <w:rsid w:val="0004161A"/>
    <w:rsid w:val="00043309"/>
    <w:rsid w:val="000459A8"/>
    <w:rsid w:val="000567BB"/>
    <w:rsid w:val="0005791C"/>
    <w:rsid w:val="00083642"/>
    <w:rsid w:val="000855AC"/>
    <w:rsid w:val="0008749C"/>
    <w:rsid w:val="0009392A"/>
    <w:rsid w:val="000A238E"/>
    <w:rsid w:val="000A6EC3"/>
    <w:rsid w:val="000B5DC6"/>
    <w:rsid w:val="000B7577"/>
    <w:rsid w:val="000C175E"/>
    <w:rsid w:val="000E4B09"/>
    <w:rsid w:val="000F1B95"/>
    <w:rsid w:val="00100743"/>
    <w:rsid w:val="00120104"/>
    <w:rsid w:val="0012031E"/>
    <w:rsid w:val="00144B17"/>
    <w:rsid w:val="00157C01"/>
    <w:rsid w:val="00161450"/>
    <w:rsid w:val="00163F02"/>
    <w:rsid w:val="00175329"/>
    <w:rsid w:val="00183599"/>
    <w:rsid w:val="00187A1B"/>
    <w:rsid w:val="00191A89"/>
    <w:rsid w:val="001A736C"/>
    <w:rsid w:val="001F34DC"/>
    <w:rsid w:val="00221726"/>
    <w:rsid w:val="002223F5"/>
    <w:rsid w:val="002248F5"/>
    <w:rsid w:val="002515E2"/>
    <w:rsid w:val="002538D6"/>
    <w:rsid w:val="002A1269"/>
    <w:rsid w:val="002D4F77"/>
    <w:rsid w:val="00313AEC"/>
    <w:rsid w:val="0033395C"/>
    <w:rsid w:val="003612D7"/>
    <w:rsid w:val="003658FF"/>
    <w:rsid w:val="00387382"/>
    <w:rsid w:val="00393110"/>
    <w:rsid w:val="003B26FF"/>
    <w:rsid w:val="003B28BB"/>
    <w:rsid w:val="003F2A31"/>
    <w:rsid w:val="00440511"/>
    <w:rsid w:val="00444147"/>
    <w:rsid w:val="004727EA"/>
    <w:rsid w:val="00480EC8"/>
    <w:rsid w:val="00482FA7"/>
    <w:rsid w:val="00484A96"/>
    <w:rsid w:val="004C0D5C"/>
    <w:rsid w:val="004C139B"/>
    <w:rsid w:val="004C59B6"/>
    <w:rsid w:val="004D3F61"/>
    <w:rsid w:val="004D47A2"/>
    <w:rsid w:val="004F44D5"/>
    <w:rsid w:val="00530735"/>
    <w:rsid w:val="00540881"/>
    <w:rsid w:val="00557EF3"/>
    <w:rsid w:val="0056618F"/>
    <w:rsid w:val="00577112"/>
    <w:rsid w:val="00587BCB"/>
    <w:rsid w:val="00590AE3"/>
    <w:rsid w:val="00597932"/>
    <w:rsid w:val="005B17E4"/>
    <w:rsid w:val="005B462F"/>
    <w:rsid w:val="005C54CA"/>
    <w:rsid w:val="005C7111"/>
    <w:rsid w:val="005F1571"/>
    <w:rsid w:val="005F2E8C"/>
    <w:rsid w:val="005F6EF7"/>
    <w:rsid w:val="00605155"/>
    <w:rsid w:val="00610E1E"/>
    <w:rsid w:val="006273FD"/>
    <w:rsid w:val="00656AFD"/>
    <w:rsid w:val="00657161"/>
    <w:rsid w:val="00661895"/>
    <w:rsid w:val="00685E2A"/>
    <w:rsid w:val="0068755B"/>
    <w:rsid w:val="0069697C"/>
    <w:rsid w:val="006B1688"/>
    <w:rsid w:val="006B5CD6"/>
    <w:rsid w:val="006D6F4B"/>
    <w:rsid w:val="006E324C"/>
    <w:rsid w:val="006F23CA"/>
    <w:rsid w:val="006F5088"/>
    <w:rsid w:val="00707F6A"/>
    <w:rsid w:val="00714DA5"/>
    <w:rsid w:val="00726954"/>
    <w:rsid w:val="00731A84"/>
    <w:rsid w:val="0074136F"/>
    <w:rsid w:val="00752481"/>
    <w:rsid w:val="00764C5F"/>
    <w:rsid w:val="007A1BAC"/>
    <w:rsid w:val="007A3FF5"/>
    <w:rsid w:val="007B606C"/>
    <w:rsid w:val="007B68B2"/>
    <w:rsid w:val="007E6BB8"/>
    <w:rsid w:val="00805799"/>
    <w:rsid w:val="008068B2"/>
    <w:rsid w:val="008207F1"/>
    <w:rsid w:val="00822BB6"/>
    <w:rsid w:val="00844CA2"/>
    <w:rsid w:val="008726EA"/>
    <w:rsid w:val="008807F0"/>
    <w:rsid w:val="00880DB3"/>
    <w:rsid w:val="008814B6"/>
    <w:rsid w:val="00887CF0"/>
    <w:rsid w:val="0089092F"/>
    <w:rsid w:val="008D2C83"/>
    <w:rsid w:val="008E7BAF"/>
    <w:rsid w:val="008F3594"/>
    <w:rsid w:val="008F7D72"/>
    <w:rsid w:val="009175A2"/>
    <w:rsid w:val="00922003"/>
    <w:rsid w:val="0093222E"/>
    <w:rsid w:val="00936E8C"/>
    <w:rsid w:val="00952F76"/>
    <w:rsid w:val="009531CD"/>
    <w:rsid w:val="009713BD"/>
    <w:rsid w:val="00975339"/>
    <w:rsid w:val="009842D3"/>
    <w:rsid w:val="009B3E10"/>
    <w:rsid w:val="009C10B5"/>
    <w:rsid w:val="009C45B9"/>
    <w:rsid w:val="009F7A08"/>
    <w:rsid w:val="00A04F3D"/>
    <w:rsid w:val="00A102AE"/>
    <w:rsid w:val="00A1559F"/>
    <w:rsid w:val="00A15976"/>
    <w:rsid w:val="00A254B3"/>
    <w:rsid w:val="00A25A28"/>
    <w:rsid w:val="00A314AD"/>
    <w:rsid w:val="00A43DBE"/>
    <w:rsid w:val="00A522FB"/>
    <w:rsid w:val="00A6358A"/>
    <w:rsid w:val="00A83044"/>
    <w:rsid w:val="00A86A8E"/>
    <w:rsid w:val="00AA0F48"/>
    <w:rsid w:val="00AB30B2"/>
    <w:rsid w:val="00AB72FC"/>
    <w:rsid w:val="00AD2851"/>
    <w:rsid w:val="00AF3B82"/>
    <w:rsid w:val="00B02DA7"/>
    <w:rsid w:val="00B0469B"/>
    <w:rsid w:val="00B0482A"/>
    <w:rsid w:val="00B6173E"/>
    <w:rsid w:val="00B76EC8"/>
    <w:rsid w:val="00B961AC"/>
    <w:rsid w:val="00BC4839"/>
    <w:rsid w:val="00BC5B1E"/>
    <w:rsid w:val="00BC77E2"/>
    <w:rsid w:val="00C0009A"/>
    <w:rsid w:val="00C01D73"/>
    <w:rsid w:val="00C02EDD"/>
    <w:rsid w:val="00C03501"/>
    <w:rsid w:val="00C54187"/>
    <w:rsid w:val="00C60F95"/>
    <w:rsid w:val="00C87883"/>
    <w:rsid w:val="00CD1FC4"/>
    <w:rsid w:val="00D06114"/>
    <w:rsid w:val="00D15F49"/>
    <w:rsid w:val="00D21C81"/>
    <w:rsid w:val="00D26128"/>
    <w:rsid w:val="00D32B96"/>
    <w:rsid w:val="00D34B90"/>
    <w:rsid w:val="00D34C2D"/>
    <w:rsid w:val="00D400FA"/>
    <w:rsid w:val="00D51695"/>
    <w:rsid w:val="00D8108F"/>
    <w:rsid w:val="00D972D3"/>
    <w:rsid w:val="00DA163B"/>
    <w:rsid w:val="00DB5786"/>
    <w:rsid w:val="00DD61D2"/>
    <w:rsid w:val="00DD7E26"/>
    <w:rsid w:val="00DE32F6"/>
    <w:rsid w:val="00DE7241"/>
    <w:rsid w:val="00E02CF6"/>
    <w:rsid w:val="00E071C1"/>
    <w:rsid w:val="00E15381"/>
    <w:rsid w:val="00E33405"/>
    <w:rsid w:val="00E36435"/>
    <w:rsid w:val="00E44A3D"/>
    <w:rsid w:val="00E531A7"/>
    <w:rsid w:val="00E56884"/>
    <w:rsid w:val="00E737B8"/>
    <w:rsid w:val="00E75F34"/>
    <w:rsid w:val="00EA6C41"/>
    <w:rsid w:val="00EB2107"/>
    <w:rsid w:val="00ED37E6"/>
    <w:rsid w:val="00EE47D9"/>
    <w:rsid w:val="00EF3049"/>
    <w:rsid w:val="00F07652"/>
    <w:rsid w:val="00F122B0"/>
    <w:rsid w:val="00F22EDF"/>
    <w:rsid w:val="00F24CA3"/>
    <w:rsid w:val="00F32830"/>
    <w:rsid w:val="00F32DED"/>
    <w:rsid w:val="00F45EC4"/>
    <w:rsid w:val="00F501ED"/>
    <w:rsid w:val="00F67B7F"/>
    <w:rsid w:val="00F73080"/>
    <w:rsid w:val="00F9156A"/>
    <w:rsid w:val="00F944F5"/>
    <w:rsid w:val="00F96684"/>
    <w:rsid w:val="00FB15DB"/>
    <w:rsid w:val="00FE6017"/>
    <w:rsid w:val="00FF58E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3EA5BD15-081A-4998-88B0-D6BB3936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styleId="NormalnyWeb">
    <w:name w:val="Normal (Web)"/>
    <w:basedOn w:val="Normalny"/>
    <w:uiPriority w:val="99"/>
    <w:unhideWhenUsed/>
    <w:rsid w:val="00887CF0"/>
    <w:pPr>
      <w:spacing w:after="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75">
      <w:bodyDiv w:val="1"/>
      <w:marLeft w:val="0"/>
      <w:marRight w:val="0"/>
      <w:marTop w:val="0"/>
      <w:marBottom w:val="0"/>
      <w:divBdr>
        <w:top w:val="none" w:sz="0" w:space="0" w:color="auto"/>
        <w:left w:val="none" w:sz="0" w:space="0" w:color="auto"/>
        <w:bottom w:val="none" w:sz="0" w:space="0" w:color="auto"/>
        <w:right w:val="none" w:sz="0" w:space="0" w:color="auto"/>
      </w:divBdr>
    </w:div>
    <w:div w:id="35743959">
      <w:bodyDiv w:val="1"/>
      <w:marLeft w:val="0"/>
      <w:marRight w:val="0"/>
      <w:marTop w:val="0"/>
      <w:marBottom w:val="0"/>
      <w:divBdr>
        <w:top w:val="none" w:sz="0" w:space="0" w:color="auto"/>
        <w:left w:val="none" w:sz="0" w:space="0" w:color="auto"/>
        <w:bottom w:val="none" w:sz="0" w:space="0" w:color="auto"/>
        <w:right w:val="none" w:sz="0" w:space="0" w:color="auto"/>
      </w:divBdr>
    </w:div>
    <w:div w:id="72627149">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271937633">
      <w:bodyDiv w:val="1"/>
      <w:marLeft w:val="0"/>
      <w:marRight w:val="0"/>
      <w:marTop w:val="0"/>
      <w:marBottom w:val="0"/>
      <w:divBdr>
        <w:top w:val="none" w:sz="0" w:space="0" w:color="auto"/>
        <w:left w:val="none" w:sz="0" w:space="0" w:color="auto"/>
        <w:bottom w:val="none" w:sz="0" w:space="0" w:color="auto"/>
        <w:right w:val="none" w:sz="0" w:space="0" w:color="auto"/>
      </w:divBdr>
    </w:div>
    <w:div w:id="287199153">
      <w:bodyDiv w:val="1"/>
      <w:marLeft w:val="0"/>
      <w:marRight w:val="0"/>
      <w:marTop w:val="0"/>
      <w:marBottom w:val="0"/>
      <w:divBdr>
        <w:top w:val="none" w:sz="0" w:space="0" w:color="auto"/>
        <w:left w:val="none" w:sz="0" w:space="0" w:color="auto"/>
        <w:bottom w:val="none" w:sz="0" w:space="0" w:color="auto"/>
        <w:right w:val="none" w:sz="0" w:space="0" w:color="auto"/>
      </w:divBdr>
    </w:div>
    <w:div w:id="399715547">
      <w:bodyDiv w:val="1"/>
      <w:marLeft w:val="0"/>
      <w:marRight w:val="0"/>
      <w:marTop w:val="0"/>
      <w:marBottom w:val="0"/>
      <w:divBdr>
        <w:top w:val="none" w:sz="0" w:space="0" w:color="auto"/>
        <w:left w:val="none" w:sz="0" w:space="0" w:color="auto"/>
        <w:bottom w:val="none" w:sz="0" w:space="0" w:color="auto"/>
        <w:right w:val="none" w:sz="0" w:space="0" w:color="auto"/>
      </w:divBdr>
    </w:div>
    <w:div w:id="406459566">
      <w:bodyDiv w:val="1"/>
      <w:marLeft w:val="0"/>
      <w:marRight w:val="0"/>
      <w:marTop w:val="0"/>
      <w:marBottom w:val="0"/>
      <w:divBdr>
        <w:top w:val="none" w:sz="0" w:space="0" w:color="auto"/>
        <w:left w:val="none" w:sz="0" w:space="0" w:color="auto"/>
        <w:bottom w:val="none" w:sz="0" w:space="0" w:color="auto"/>
        <w:right w:val="none" w:sz="0" w:space="0" w:color="auto"/>
      </w:divBdr>
    </w:div>
    <w:div w:id="575743099">
      <w:bodyDiv w:val="1"/>
      <w:marLeft w:val="0"/>
      <w:marRight w:val="0"/>
      <w:marTop w:val="0"/>
      <w:marBottom w:val="0"/>
      <w:divBdr>
        <w:top w:val="none" w:sz="0" w:space="0" w:color="auto"/>
        <w:left w:val="none" w:sz="0" w:space="0" w:color="auto"/>
        <w:bottom w:val="none" w:sz="0" w:space="0" w:color="auto"/>
        <w:right w:val="none" w:sz="0" w:space="0" w:color="auto"/>
      </w:divBdr>
    </w:div>
    <w:div w:id="828596272">
      <w:bodyDiv w:val="1"/>
      <w:marLeft w:val="0"/>
      <w:marRight w:val="0"/>
      <w:marTop w:val="0"/>
      <w:marBottom w:val="0"/>
      <w:divBdr>
        <w:top w:val="none" w:sz="0" w:space="0" w:color="auto"/>
        <w:left w:val="none" w:sz="0" w:space="0" w:color="auto"/>
        <w:bottom w:val="none" w:sz="0" w:space="0" w:color="auto"/>
        <w:right w:val="none" w:sz="0" w:space="0" w:color="auto"/>
      </w:divBdr>
    </w:div>
    <w:div w:id="1115832831">
      <w:bodyDiv w:val="1"/>
      <w:marLeft w:val="0"/>
      <w:marRight w:val="0"/>
      <w:marTop w:val="0"/>
      <w:marBottom w:val="0"/>
      <w:divBdr>
        <w:top w:val="none" w:sz="0" w:space="0" w:color="auto"/>
        <w:left w:val="none" w:sz="0" w:space="0" w:color="auto"/>
        <w:bottom w:val="none" w:sz="0" w:space="0" w:color="auto"/>
        <w:right w:val="none" w:sz="0" w:space="0" w:color="auto"/>
      </w:divBdr>
    </w:div>
    <w:div w:id="1228492005">
      <w:bodyDiv w:val="1"/>
      <w:marLeft w:val="0"/>
      <w:marRight w:val="0"/>
      <w:marTop w:val="0"/>
      <w:marBottom w:val="0"/>
      <w:divBdr>
        <w:top w:val="none" w:sz="0" w:space="0" w:color="auto"/>
        <w:left w:val="none" w:sz="0" w:space="0" w:color="auto"/>
        <w:bottom w:val="none" w:sz="0" w:space="0" w:color="auto"/>
        <w:right w:val="none" w:sz="0" w:space="0" w:color="auto"/>
      </w:divBdr>
    </w:div>
    <w:div w:id="1356493620">
      <w:bodyDiv w:val="1"/>
      <w:marLeft w:val="0"/>
      <w:marRight w:val="0"/>
      <w:marTop w:val="0"/>
      <w:marBottom w:val="0"/>
      <w:divBdr>
        <w:top w:val="none" w:sz="0" w:space="0" w:color="auto"/>
        <w:left w:val="none" w:sz="0" w:space="0" w:color="auto"/>
        <w:bottom w:val="none" w:sz="0" w:space="0" w:color="auto"/>
        <w:right w:val="none" w:sz="0" w:space="0" w:color="auto"/>
      </w:divBdr>
    </w:div>
    <w:div w:id="1361710038">
      <w:bodyDiv w:val="1"/>
      <w:marLeft w:val="0"/>
      <w:marRight w:val="0"/>
      <w:marTop w:val="0"/>
      <w:marBottom w:val="0"/>
      <w:divBdr>
        <w:top w:val="none" w:sz="0" w:space="0" w:color="auto"/>
        <w:left w:val="none" w:sz="0" w:space="0" w:color="auto"/>
        <w:bottom w:val="none" w:sz="0" w:space="0" w:color="auto"/>
        <w:right w:val="none" w:sz="0" w:space="0" w:color="auto"/>
      </w:divBdr>
    </w:div>
    <w:div w:id="1370297605">
      <w:bodyDiv w:val="1"/>
      <w:marLeft w:val="0"/>
      <w:marRight w:val="0"/>
      <w:marTop w:val="0"/>
      <w:marBottom w:val="0"/>
      <w:divBdr>
        <w:top w:val="none" w:sz="0" w:space="0" w:color="auto"/>
        <w:left w:val="none" w:sz="0" w:space="0" w:color="auto"/>
        <w:bottom w:val="none" w:sz="0" w:space="0" w:color="auto"/>
        <w:right w:val="none" w:sz="0" w:space="0" w:color="auto"/>
      </w:divBdr>
    </w:div>
    <w:div w:id="1456219033">
      <w:bodyDiv w:val="1"/>
      <w:marLeft w:val="0"/>
      <w:marRight w:val="0"/>
      <w:marTop w:val="0"/>
      <w:marBottom w:val="0"/>
      <w:divBdr>
        <w:top w:val="none" w:sz="0" w:space="0" w:color="auto"/>
        <w:left w:val="none" w:sz="0" w:space="0" w:color="auto"/>
        <w:bottom w:val="none" w:sz="0" w:space="0" w:color="auto"/>
        <w:right w:val="none" w:sz="0" w:space="0" w:color="auto"/>
      </w:divBdr>
    </w:div>
    <w:div w:id="1678313966">
      <w:bodyDiv w:val="1"/>
      <w:marLeft w:val="0"/>
      <w:marRight w:val="0"/>
      <w:marTop w:val="0"/>
      <w:marBottom w:val="0"/>
      <w:divBdr>
        <w:top w:val="none" w:sz="0" w:space="0" w:color="auto"/>
        <w:left w:val="none" w:sz="0" w:space="0" w:color="auto"/>
        <w:bottom w:val="none" w:sz="0" w:space="0" w:color="auto"/>
        <w:right w:val="none" w:sz="0" w:space="0" w:color="auto"/>
      </w:divBdr>
    </w:div>
    <w:div w:id="1698314781">
      <w:bodyDiv w:val="1"/>
      <w:marLeft w:val="0"/>
      <w:marRight w:val="0"/>
      <w:marTop w:val="0"/>
      <w:marBottom w:val="0"/>
      <w:divBdr>
        <w:top w:val="none" w:sz="0" w:space="0" w:color="auto"/>
        <w:left w:val="none" w:sz="0" w:space="0" w:color="auto"/>
        <w:bottom w:val="none" w:sz="0" w:space="0" w:color="auto"/>
        <w:right w:val="none" w:sz="0" w:space="0" w:color="auto"/>
      </w:divBdr>
    </w:div>
    <w:div w:id="1798521048">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D109853-3053-4FFD-A8BA-C1E96042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4</cp:revision>
  <cp:lastPrinted>2017-05-12T17:36:00Z</cp:lastPrinted>
  <dcterms:created xsi:type="dcterms:W3CDTF">2017-05-18T10:45:00Z</dcterms:created>
  <dcterms:modified xsi:type="dcterms:W3CDTF">2017-05-30T07:16:00Z</dcterms:modified>
</cp:coreProperties>
</file>