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BFB0D" w14:textId="067513A7" w:rsidR="00066079" w:rsidRPr="00612EEE" w:rsidRDefault="00066079" w:rsidP="00066079">
      <w:pPr>
        <w:pStyle w:val="Adresodbiorcy"/>
        <w:jc w:val="right"/>
      </w:pPr>
      <w:r w:rsidRPr="00612EEE">
        <w:t xml:space="preserve">Kraków, </w:t>
      </w:r>
      <w:r w:rsidR="00737048">
        <w:t>24</w:t>
      </w:r>
      <w:r w:rsidR="00B5453E" w:rsidRPr="00612EEE">
        <w:t xml:space="preserve"> </w:t>
      </w:r>
      <w:r w:rsidR="00E220CA">
        <w:t>maja</w:t>
      </w:r>
      <w:r w:rsidR="00425EFF" w:rsidRPr="00612EEE">
        <w:t xml:space="preserve"> 2017</w:t>
      </w:r>
      <w:r w:rsidRPr="00612EEE">
        <w:t xml:space="preserve"> r.</w:t>
      </w:r>
    </w:p>
    <w:p w14:paraId="3FB89469" w14:textId="23CFDB41" w:rsidR="00637C1F" w:rsidRPr="008E6042" w:rsidRDefault="002851BA" w:rsidP="008E6042">
      <w:pPr>
        <w:spacing w:line="259" w:lineRule="auto"/>
        <w:jc w:val="left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Trucizna w telefonie - j</w:t>
      </w:r>
      <w:r w:rsidRPr="002851BA">
        <w:rPr>
          <w:rFonts w:asciiTheme="majorHAnsi" w:hAnsiTheme="majorHAnsi"/>
          <w:sz w:val="44"/>
          <w:szCs w:val="44"/>
        </w:rPr>
        <w:t xml:space="preserve">ak zatruwamy </w:t>
      </w:r>
      <w:r>
        <w:rPr>
          <w:rFonts w:asciiTheme="majorHAnsi" w:hAnsiTheme="majorHAnsi"/>
          <w:sz w:val="44"/>
          <w:szCs w:val="44"/>
        </w:rPr>
        <w:t>środowisko nowymi technologiami</w:t>
      </w:r>
    </w:p>
    <w:p w14:paraId="487A9E3D" w14:textId="42B335D6" w:rsidR="00372652" w:rsidRDefault="00737048" w:rsidP="00E220CA">
      <w:pPr>
        <w:rPr>
          <w:b/>
        </w:rPr>
      </w:pPr>
      <w:r w:rsidRPr="00737048">
        <w:rPr>
          <w:b/>
        </w:rPr>
        <w:t>Zalegają na śmietnikach, wysypiskach, w lasach, na rozstajach dróg i w korytach rzek. Zawierają między innymi rtęć, ołów, związki b</w:t>
      </w:r>
      <w:r>
        <w:rPr>
          <w:b/>
        </w:rPr>
        <w:t xml:space="preserve">romu, azbest, kadm i freon. </w:t>
      </w:r>
      <w:r w:rsidR="00BC2C4E">
        <w:rPr>
          <w:b/>
        </w:rPr>
        <w:t>Podpowiadamy,</w:t>
      </w:r>
      <w:r>
        <w:rPr>
          <w:b/>
        </w:rPr>
        <w:t xml:space="preserve"> jak </w:t>
      </w:r>
      <w:r w:rsidRPr="00737048">
        <w:rPr>
          <w:b/>
        </w:rPr>
        <w:t xml:space="preserve">ograniczyć wytwarzanie elektrośmieci </w:t>
      </w:r>
      <w:r>
        <w:rPr>
          <w:b/>
        </w:rPr>
        <w:t xml:space="preserve">i </w:t>
      </w:r>
      <w:r w:rsidRPr="00737048">
        <w:rPr>
          <w:b/>
        </w:rPr>
        <w:t xml:space="preserve">sprawić, aby </w:t>
      </w:r>
      <w:r>
        <w:rPr>
          <w:b/>
        </w:rPr>
        <w:t>niebezpieczne związki nie przenikały do gleby.</w:t>
      </w:r>
    </w:p>
    <w:p w14:paraId="5C76683A" w14:textId="31A6516F" w:rsidR="00737048" w:rsidRDefault="00737048" w:rsidP="00737048">
      <w:r>
        <w:t xml:space="preserve">Jeden wyrzucony w nieodpowiednie miejsce telefon może skazić aż 400 litrów wody lub metr sześcienny gleby. </w:t>
      </w:r>
      <w:r w:rsidR="002B0838" w:rsidRPr="002B0838">
        <w:t>To może wydawać się nieprawdopodobne</w:t>
      </w:r>
      <w:bookmarkStart w:id="0" w:name="_GoBack"/>
      <w:bookmarkEnd w:id="0"/>
      <w:r>
        <w:t xml:space="preserve">, ale spójrzmy prawdzie w oczy – dla środowiska nie jest obojętne, gdzie </w:t>
      </w:r>
      <w:r w:rsidR="00BC2C4E">
        <w:t>trafi</w:t>
      </w:r>
      <w:r>
        <w:t xml:space="preserve"> stary sprzęt elektroniczny. Czy wyrzucając starą wagę, popsuty </w:t>
      </w:r>
      <w:proofErr w:type="spellStart"/>
      <w:r>
        <w:t>blender</w:t>
      </w:r>
      <w:proofErr w:type="spellEnd"/>
      <w:r>
        <w:t xml:space="preserve"> lub </w:t>
      </w:r>
      <w:proofErr w:type="spellStart"/>
      <w:r>
        <w:t>pendrive’a</w:t>
      </w:r>
      <w:proofErr w:type="spellEnd"/>
      <w:r>
        <w:t xml:space="preserve"> myślimy o środowisku? </w:t>
      </w:r>
    </w:p>
    <w:p w14:paraId="4412BA37" w14:textId="2A31DB03" w:rsidR="00737048" w:rsidRPr="00737048" w:rsidRDefault="00737048" w:rsidP="00737048">
      <w:pPr>
        <w:rPr>
          <w:b/>
        </w:rPr>
      </w:pPr>
      <w:r w:rsidRPr="00737048">
        <w:rPr>
          <w:b/>
        </w:rPr>
        <w:t xml:space="preserve">Problem </w:t>
      </w:r>
      <w:r>
        <w:rPr>
          <w:b/>
        </w:rPr>
        <w:t xml:space="preserve">w </w:t>
      </w:r>
      <w:r w:rsidRPr="00737048">
        <w:rPr>
          <w:b/>
        </w:rPr>
        <w:t>skali globalnej</w:t>
      </w:r>
    </w:p>
    <w:p w14:paraId="2153B74C" w14:textId="6A127C17" w:rsidR="00737048" w:rsidRDefault="00A03AA4" w:rsidP="00737048">
      <w:r>
        <w:t>Jak mówią raporty ONZ,</w:t>
      </w:r>
      <w:r w:rsidR="00737048">
        <w:t xml:space="preserve"> oczekuje się, że w roku 2017 </w:t>
      </w:r>
      <w:r w:rsidR="00BC2C4E">
        <w:t xml:space="preserve">na całym świecie </w:t>
      </w:r>
      <w:r w:rsidR="00737048">
        <w:t xml:space="preserve">porzuconych zostanie około 50 milionów ton elektrośmieci. Jeśli uwzględnić, że każdego roku produkowane są łącznie ponad 2 biliony ton śmieci, taki wynik nie </w:t>
      </w:r>
      <w:r w:rsidR="00BC2C4E">
        <w:t>robi wrażenia</w:t>
      </w:r>
      <w:r w:rsidR="00737048">
        <w:t xml:space="preserve">. E-śmieci stanowią jednak większość wytwarzanych przez nas </w:t>
      </w:r>
      <w:r w:rsidR="00BC2C4E">
        <w:t xml:space="preserve">odpadów </w:t>
      </w:r>
      <w:r w:rsidR="00737048">
        <w:t xml:space="preserve">toksycznych. Szkodliwe związki w nich zawarte wnikają do gleby i wracają do łańcucha pokarmowego, szkodząc roślinom, </w:t>
      </w:r>
      <w:r w:rsidR="00BC2C4E">
        <w:t xml:space="preserve">zwierzętom i </w:t>
      </w:r>
      <w:r w:rsidR="00737048">
        <w:t>ludziom. W Polsce roczną produkcję elektrośmieci szacuje się na około 300</w:t>
      </w:r>
      <w:r w:rsidR="003B3807">
        <w:t xml:space="preserve"> tys.</w:t>
      </w:r>
      <w:r w:rsidR="00737048">
        <w:t xml:space="preserve"> ton rocznie. Popularnym na świecie procederem jest eksport e-śmieci do krajów mniej rozwiniętych. Tam </w:t>
      </w:r>
      <w:r w:rsidRPr="00A03AA4">
        <w:t xml:space="preserve">trafiają </w:t>
      </w:r>
      <w:r>
        <w:t xml:space="preserve">one </w:t>
      </w:r>
      <w:r w:rsidRPr="00A03AA4">
        <w:t xml:space="preserve">na </w:t>
      </w:r>
      <w:r>
        <w:t xml:space="preserve">lokalne </w:t>
      </w:r>
      <w:r w:rsidRPr="00A03AA4">
        <w:t>wysypiska i zanieczyszczają środowisko, albo są rozkładane przez niewykwalifikowane osoby i poddawane domowemu „recyklingowi”.</w:t>
      </w:r>
    </w:p>
    <w:p w14:paraId="09F5F1D0" w14:textId="77777777" w:rsidR="00737048" w:rsidRPr="00737048" w:rsidRDefault="00737048" w:rsidP="00737048">
      <w:pPr>
        <w:rPr>
          <w:b/>
        </w:rPr>
      </w:pPr>
      <w:r w:rsidRPr="00737048">
        <w:rPr>
          <w:b/>
        </w:rPr>
        <w:t>Świadomość konsumencka</w:t>
      </w:r>
    </w:p>
    <w:p w14:paraId="051B9A06" w14:textId="68168025" w:rsidR="00737048" w:rsidRDefault="00737048" w:rsidP="00737048">
      <w:r>
        <w:t>Czy naprawdę potrzebujesz mieć zawsze najnowsz</w:t>
      </w:r>
      <w:r w:rsidR="00A03AA4">
        <w:t>y</w:t>
      </w:r>
      <w:r>
        <w:t xml:space="preserve"> </w:t>
      </w:r>
      <w:r w:rsidR="00A03AA4">
        <w:t xml:space="preserve">model </w:t>
      </w:r>
      <w:r>
        <w:t xml:space="preserve">telefonu? Co się stało z </w:t>
      </w:r>
      <w:r w:rsidR="00A03AA4">
        <w:t xml:space="preserve">urządzeniem </w:t>
      </w:r>
      <w:r>
        <w:t>sprzed 3 lat? Być może przy kolejnych zakupach warto się zastanowić również nad tym</w:t>
      </w:r>
      <w:r w:rsidR="00A03AA4">
        <w:t>,</w:t>
      </w:r>
      <w:r>
        <w:t xml:space="preserve"> j</w:t>
      </w:r>
      <w:r w:rsidR="00A03AA4">
        <w:t>ak długo sprzęt, który kupujemy,</w:t>
      </w:r>
      <w:r>
        <w:t xml:space="preserve"> będzie </w:t>
      </w:r>
      <w:r w:rsidR="007D04D0">
        <w:t xml:space="preserve">przez </w:t>
      </w:r>
      <w:r w:rsidR="00A03AA4">
        <w:t xml:space="preserve">nas </w:t>
      </w:r>
      <w:r>
        <w:t>używany. Bywa również, że decydujemy się na zakup</w:t>
      </w:r>
      <w:r w:rsidR="00A03AA4">
        <w:t>,</w:t>
      </w:r>
      <w:r>
        <w:t xml:space="preserve"> nie rozważając możliwości unowocześnienia sprzętu, który już posiadamy. </w:t>
      </w:r>
      <w:r w:rsidR="00A03AA4">
        <w:t>Montaż d</w:t>
      </w:r>
      <w:r>
        <w:t>ysk</w:t>
      </w:r>
      <w:r w:rsidR="00A03AA4">
        <w:t>u</w:t>
      </w:r>
      <w:r>
        <w:t xml:space="preserve"> SSD </w:t>
      </w:r>
      <w:r w:rsidR="00A03AA4">
        <w:t>w starszym komputerze sprawia</w:t>
      </w:r>
      <w:r>
        <w:t>, że te</w:t>
      </w:r>
      <w:r w:rsidR="00A03AA4">
        <w:t>n</w:t>
      </w:r>
      <w:r>
        <w:t xml:space="preserve"> przeżywa drugą młodość. A gdy przydarzy się usterka lub awaria, można skorzystać z usług serwisu – wiele z nich oferuje </w:t>
      </w:r>
      <w:r w:rsidR="003F0CB6">
        <w:t xml:space="preserve">naprawy </w:t>
      </w:r>
      <w:proofErr w:type="spellStart"/>
      <w:r w:rsidR="003F0CB6">
        <w:t>poserwisowe</w:t>
      </w:r>
      <w:proofErr w:type="spellEnd"/>
      <w:r>
        <w:t xml:space="preserve">. </w:t>
      </w:r>
      <w:r w:rsidRPr="00A03AA4">
        <w:rPr>
          <w:i/>
        </w:rPr>
        <w:t>„</w:t>
      </w:r>
      <w:r w:rsidR="003F0CB6">
        <w:rPr>
          <w:i/>
        </w:rPr>
        <w:t>Pozornie droga w naprawie usterka może zostać naprawiona bardzo niskim kosztem</w:t>
      </w:r>
      <w:r w:rsidRPr="00A03AA4">
        <w:rPr>
          <w:i/>
        </w:rPr>
        <w:t>”</w:t>
      </w:r>
      <w:r>
        <w:t xml:space="preserve"> – mówi Piotr </w:t>
      </w:r>
      <w:proofErr w:type="spellStart"/>
      <w:r>
        <w:t>Pachota</w:t>
      </w:r>
      <w:proofErr w:type="spellEnd"/>
      <w:r>
        <w:t xml:space="preserve"> z GoRepair.pl. </w:t>
      </w:r>
      <w:r w:rsidRPr="00A03AA4">
        <w:rPr>
          <w:i/>
        </w:rPr>
        <w:t>„</w:t>
      </w:r>
      <w:r w:rsidR="003F0CB6">
        <w:rPr>
          <w:i/>
        </w:rPr>
        <w:t>Dotyczy to np. rozbitej</w:t>
      </w:r>
      <w:r w:rsidRPr="00A03AA4">
        <w:rPr>
          <w:i/>
        </w:rPr>
        <w:t xml:space="preserve"> szybki</w:t>
      </w:r>
      <w:r w:rsidR="003F0CB6">
        <w:rPr>
          <w:i/>
        </w:rPr>
        <w:t xml:space="preserve"> w smartfonie. </w:t>
      </w:r>
      <w:r w:rsidR="00C40808">
        <w:rPr>
          <w:i/>
        </w:rPr>
        <w:t>Koszt jej w</w:t>
      </w:r>
      <w:r w:rsidR="003F0CB6">
        <w:rPr>
          <w:i/>
        </w:rPr>
        <w:t>ymian</w:t>
      </w:r>
      <w:r w:rsidR="00C40808">
        <w:rPr>
          <w:i/>
        </w:rPr>
        <w:t>y</w:t>
      </w:r>
      <w:r w:rsidR="003F0CB6">
        <w:rPr>
          <w:i/>
        </w:rPr>
        <w:t xml:space="preserve"> </w:t>
      </w:r>
      <w:r w:rsidR="00C40808">
        <w:rPr>
          <w:i/>
        </w:rPr>
        <w:t>jest wielokrotnie</w:t>
      </w:r>
      <w:r w:rsidRPr="00A03AA4">
        <w:rPr>
          <w:i/>
        </w:rPr>
        <w:t xml:space="preserve"> </w:t>
      </w:r>
      <w:r w:rsidR="00BC2C4E" w:rsidRPr="00A03AA4">
        <w:rPr>
          <w:i/>
        </w:rPr>
        <w:t>niższy</w:t>
      </w:r>
      <w:r w:rsidRPr="00A03AA4">
        <w:rPr>
          <w:i/>
        </w:rPr>
        <w:t xml:space="preserve"> niż </w:t>
      </w:r>
      <w:r w:rsidR="00C40808">
        <w:rPr>
          <w:i/>
        </w:rPr>
        <w:t xml:space="preserve">cena </w:t>
      </w:r>
      <w:r w:rsidRPr="00A03AA4">
        <w:rPr>
          <w:i/>
        </w:rPr>
        <w:t xml:space="preserve">nowego </w:t>
      </w:r>
      <w:r w:rsidR="003F0CB6">
        <w:rPr>
          <w:i/>
        </w:rPr>
        <w:t>urządzenia</w:t>
      </w:r>
      <w:r w:rsidRPr="00A03AA4">
        <w:rPr>
          <w:i/>
        </w:rPr>
        <w:t>”</w:t>
      </w:r>
      <w:r>
        <w:t xml:space="preserve"> – dodaje. </w:t>
      </w:r>
      <w:r w:rsidR="00BC2C4E">
        <w:t xml:space="preserve">Jeżeli zdecydujemy się na wyrzucenie urządzenia elektrycznego musimy pamiętać, że należy to robić wyłącznie w przeznaczonych do tego </w:t>
      </w:r>
      <w:r w:rsidR="00BC2C4E">
        <w:lastRenderedPageBreak/>
        <w:t xml:space="preserve">miejscach, na przykład punktach zbiórki. </w:t>
      </w:r>
      <w:r>
        <w:t xml:space="preserve">Warto również wspomnieć, że za </w:t>
      </w:r>
      <w:r w:rsidR="00BC2C4E">
        <w:t xml:space="preserve">pozbycie się </w:t>
      </w:r>
      <w:r>
        <w:t xml:space="preserve">elektrośmieci w </w:t>
      </w:r>
      <w:r w:rsidR="00D55E50">
        <w:t>sposób niezgodny z prawem</w:t>
      </w:r>
      <w:r>
        <w:t xml:space="preserve"> grozi kara </w:t>
      </w:r>
      <w:r w:rsidR="00A03AA4">
        <w:t>grzywny w wysokości nawet</w:t>
      </w:r>
      <w:r>
        <w:t xml:space="preserve"> 5 tys. złotych.</w:t>
      </w:r>
    </w:p>
    <w:p w14:paraId="3C67067F" w14:textId="4F8E2126" w:rsidR="00737048" w:rsidRPr="00737048" w:rsidRDefault="00737048" w:rsidP="00737048">
      <w:pPr>
        <w:rPr>
          <w:b/>
        </w:rPr>
      </w:pPr>
      <w:r w:rsidRPr="00737048">
        <w:rPr>
          <w:b/>
        </w:rPr>
        <w:t>Czy recykling wystarczy?</w:t>
      </w:r>
    </w:p>
    <w:p w14:paraId="4D247C3F" w14:textId="7E60DDBB" w:rsidR="00605EA1" w:rsidRPr="008E6042" w:rsidRDefault="00737048" w:rsidP="00737048">
      <w:r>
        <w:t xml:space="preserve">Recykling elektroniki jest procesem czasochłonnym, kosztownym i wymagającym, ale </w:t>
      </w:r>
      <w:r w:rsidR="00BC2C4E">
        <w:t>mimo to</w:t>
      </w:r>
      <w:r>
        <w:t xml:space="preserve"> opłacalnym. W telefonach komórkowych znajdują się miedź, cyna, ołów, srebro, złoto i platyna, a więc cenne surowce. Średni cza</w:t>
      </w:r>
      <w:r w:rsidR="00A03AA4">
        <w:t>s życia telefonu to obecnie 2</w:t>
      </w:r>
      <w:r w:rsidR="00BC2C4E">
        <w:t>-</w:t>
      </w:r>
      <w:r w:rsidR="00A03AA4">
        <w:t>2,</w:t>
      </w:r>
      <w:r>
        <w:t>5 roku, następnie przychodzi czas na zakup nowego. Ile wynosi obecnie roczna sprzedaż telefonów w Polsce? Około 8 milionów sztuk. Jak wynika z badań, z jednego miliona starych telefonów można odzyskać 16 tys. kg miedzi, 350 kg srebra, 34 kg złota i 15 kg pl</w:t>
      </w:r>
      <w:r w:rsidR="00A03AA4">
        <w:t xml:space="preserve">atyny, co stanowi równowartość 4,5 mln złotych. </w:t>
      </w:r>
      <w:r>
        <w:t>Z innych elektrośmieci również da się wiele odzyskać. Zaletą recyklingu jest to, że surowce w ten sposób zdobyte można wykorzystać ponownie bez potrzeby ich</w:t>
      </w:r>
      <w:r w:rsidR="00A03AA4">
        <w:t xml:space="preserve"> ponownego</w:t>
      </w:r>
      <w:r>
        <w:t xml:space="preserve"> wydobywania. Szacuje się, że w Polsce recyklingowi poddawane jest około 30-40% zużytego sprzętu elektronicznego, a wedle najnowszych regulacji, poziom ten ma do roku 2021 wzrosnąć do 65%. Pamiętaj, </w:t>
      </w:r>
      <w:r w:rsidR="00BC2C4E">
        <w:t xml:space="preserve">że </w:t>
      </w:r>
      <w:r>
        <w:t xml:space="preserve">kiedy kupujesz nowy sprzęt AGD lub RTV, to jeśli wyrazisz takie życzenie, podczas dostawy sprzedawca ma </w:t>
      </w:r>
      <w:r w:rsidR="00A03AA4">
        <w:t>obowiązek</w:t>
      </w:r>
      <w:r>
        <w:t xml:space="preserve"> zabrania od ciebie starego sprzętu i oddania go do recyklingu lub utylizacji.</w:t>
      </w:r>
    </w:p>
    <w:p w14:paraId="47A06AE6" w14:textId="77777777" w:rsidR="008E6042" w:rsidRPr="00612EEE" w:rsidRDefault="008E6042" w:rsidP="008E6042">
      <w:pPr>
        <w:spacing w:line="259" w:lineRule="auto"/>
        <w:jc w:val="left"/>
        <w:rPr>
          <w:rFonts w:asciiTheme="majorHAnsi" w:hAnsiTheme="majorHAnsi"/>
          <w:sz w:val="32"/>
          <w:szCs w:val="32"/>
        </w:rPr>
      </w:pPr>
    </w:p>
    <w:p w14:paraId="28044FCB" w14:textId="36A0AD48" w:rsidR="00066079" w:rsidRPr="00612EEE" w:rsidRDefault="00066079" w:rsidP="00605EA1">
      <w:pPr>
        <w:spacing w:line="259" w:lineRule="auto"/>
        <w:jc w:val="left"/>
        <w:rPr>
          <w:rFonts w:asciiTheme="majorHAnsi" w:hAnsiTheme="majorHAnsi"/>
          <w:sz w:val="32"/>
          <w:szCs w:val="32"/>
        </w:rPr>
      </w:pPr>
      <w:r w:rsidRPr="00612EEE">
        <w:rPr>
          <w:rFonts w:asciiTheme="majorHAnsi" w:hAnsiTheme="majorHAnsi"/>
          <w:sz w:val="32"/>
          <w:szCs w:val="32"/>
        </w:rPr>
        <w:t>O firmie GoRepair</w:t>
      </w:r>
    </w:p>
    <w:p w14:paraId="7FC2CFCC" w14:textId="49B0896D" w:rsidR="00D911CC" w:rsidRPr="00612EEE" w:rsidRDefault="00D911CC" w:rsidP="00D911CC">
      <w:r w:rsidRPr="00612EEE">
        <w:t>GoRepair to pogwarancyjny serwis naprawiający smartfony, tablety i laptopy najpopularniejszych marek. Wygodne narzędzie dostępne na stronie internetowej umożliwia łatwe i szybkie zgłoszenie usterki oraz wybór terminu, w którym kurier odbierze urządzenie od klienta. Dla większości napraw dostępna jest natychmiastowa wycena kosztów. Typowe uszkodzenia są naprawiane od ręki, a w bardziej skomplikowanych przypadkach czas naprawy jest ustalany indywidualnie. Gwarancja udzielana na usługi wykonane przez GoRepair to 12 miesięcy.</w:t>
      </w:r>
    </w:p>
    <w:p w14:paraId="6449D940" w14:textId="6F716C8F" w:rsidR="00E50159" w:rsidRDefault="007C170C" w:rsidP="00D911CC">
      <w:r>
        <w:t xml:space="preserve">Więcej informacji: </w:t>
      </w:r>
      <w:hyperlink r:id="rId8" w:history="1">
        <w:r w:rsidRPr="0013577E">
          <w:rPr>
            <w:rStyle w:val="Hipercze"/>
          </w:rPr>
          <w:t>www.gorepair.pl</w:t>
        </w:r>
      </w:hyperlink>
    </w:p>
    <w:p w14:paraId="5B629AC6" w14:textId="77777777" w:rsidR="007C170C" w:rsidRDefault="007C170C" w:rsidP="006E2000"/>
    <w:p w14:paraId="0020512F" w14:textId="41C8C7C1" w:rsidR="00E50159" w:rsidRPr="00660982" w:rsidRDefault="00E50159" w:rsidP="007C170C">
      <w:pPr>
        <w:jc w:val="left"/>
        <w:rPr>
          <w:rFonts w:asciiTheme="majorHAnsi" w:hAnsiTheme="majorHAnsi"/>
          <w:sz w:val="32"/>
          <w:szCs w:val="32"/>
        </w:rPr>
      </w:pPr>
      <w:r w:rsidRPr="00660982">
        <w:rPr>
          <w:rFonts w:asciiTheme="majorHAnsi" w:hAnsiTheme="majorHAnsi"/>
          <w:sz w:val="32"/>
          <w:szCs w:val="32"/>
        </w:rPr>
        <w:t>Kontakt dla mediów</w:t>
      </w:r>
    </w:p>
    <w:p w14:paraId="5E237EAF" w14:textId="74F31096" w:rsidR="007C170C" w:rsidRPr="00A709CF" w:rsidRDefault="007C170C" w:rsidP="007C170C">
      <w:pPr>
        <w:jc w:val="left"/>
      </w:pPr>
      <w:r w:rsidRPr="00A709CF">
        <w:t>Agencja WĘC Public Relations</w:t>
      </w:r>
    </w:p>
    <w:p w14:paraId="61BDBC93" w14:textId="1221490A" w:rsidR="00E50159" w:rsidRPr="00D911CC" w:rsidRDefault="00E50159" w:rsidP="007C170C">
      <w:pPr>
        <w:jc w:val="left"/>
        <w:rPr>
          <w:lang w:val="en-US"/>
        </w:rPr>
      </w:pPr>
      <w:r w:rsidRPr="00D911CC">
        <w:rPr>
          <w:lang w:val="en-US"/>
        </w:rPr>
        <w:t xml:space="preserve">Tomasz </w:t>
      </w:r>
      <w:proofErr w:type="spellStart"/>
      <w:r w:rsidRPr="00D911CC">
        <w:rPr>
          <w:lang w:val="en-US"/>
        </w:rPr>
        <w:t>Węc</w:t>
      </w:r>
      <w:proofErr w:type="spellEnd"/>
      <w:r w:rsidR="005B2401" w:rsidRPr="00D911CC">
        <w:rPr>
          <w:lang w:val="en-US"/>
        </w:rPr>
        <w:t xml:space="preserve"> /PR Director</w:t>
      </w:r>
      <w:r w:rsidRPr="00D911CC">
        <w:rPr>
          <w:lang w:val="en-US"/>
        </w:rPr>
        <w:br/>
        <w:t xml:space="preserve">E-Mail: </w:t>
      </w:r>
      <w:r w:rsidR="007F1573">
        <w:fldChar w:fldCharType="begin"/>
      </w:r>
      <w:r w:rsidR="007F1573" w:rsidRPr="002B0838">
        <w:rPr>
          <w:lang w:val="en-US"/>
        </w:rPr>
        <w:instrText xml:space="preserve"> HYPERLINK "mailto:tomasz@wec24.pl" </w:instrText>
      </w:r>
      <w:r w:rsidR="007F1573">
        <w:fldChar w:fldCharType="separate"/>
      </w:r>
      <w:r w:rsidRPr="00D911CC">
        <w:rPr>
          <w:rStyle w:val="Hipercze"/>
          <w:lang w:val="en-US"/>
        </w:rPr>
        <w:t>tomasz@wec24.pl</w:t>
      </w:r>
      <w:r w:rsidR="007F1573">
        <w:rPr>
          <w:rStyle w:val="Hipercze"/>
          <w:lang w:val="en-US"/>
        </w:rPr>
        <w:fldChar w:fldCharType="end"/>
      </w:r>
      <w:r w:rsidR="007C170C" w:rsidRPr="00D911CC">
        <w:rPr>
          <w:lang w:val="en-US"/>
        </w:rPr>
        <w:br/>
      </w:r>
      <w:proofErr w:type="spellStart"/>
      <w:r w:rsidR="007C170C" w:rsidRPr="00D911CC">
        <w:rPr>
          <w:lang w:val="en-US"/>
        </w:rPr>
        <w:t>Telefon</w:t>
      </w:r>
      <w:proofErr w:type="spellEnd"/>
      <w:r w:rsidR="007C170C" w:rsidRPr="00D911CC">
        <w:rPr>
          <w:lang w:val="en-US"/>
        </w:rPr>
        <w:t>: 667 954 282</w:t>
      </w:r>
    </w:p>
    <w:p w14:paraId="7D6E9798" w14:textId="730CB265" w:rsidR="007C170C" w:rsidRPr="00D911CC" w:rsidRDefault="007C170C" w:rsidP="007C170C">
      <w:pPr>
        <w:jc w:val="left"/>
        <w:rPr>
          <w:lang w:val="en-US"/>
        </w:rPr>
      </w:pPr>
      <w:r w:rsidRPr="00D911CC">
        <w:rPr>
          <w:lang w:val="en-US"/>
        </w:rPr>
        <w:t>Łukasz Warchoł</w:t>
      </w:r>
      <w:r w:rsidR="005B2401" w:rsidRPr="00D911CC">
        <w:rPr>
          <w:lang w:val="en-US"/>
        </w:rPr>
        <w:t xml:space="preserve"> /</w:t>
      </w:r>
      <w:r w:rsidR="00AE6ACB">
        <w:rPr>
          <w:lang w:val="en-US"/>
        </w:rPr>
        <w:t xml:space="preserve"> Senior </w:t>
      </w:r>
      <w:r w:rsidR="005B2401" w:rsidRPr="00D911CC">
        <w:rPr>
          <w:lang w:val="en-US"/>
        </w:rPr>
        <w:t>PR Executive</w:t>
      </w:r>
      <w:r w:rsidRPr="00D911CC">
        <w:rPr>
          <w:lang w:val="en-US"/>
        </w:rPr>
        <w:br/>
        <w:t xml:space="preserve">E-Mail: </w:t>
      </w:r>
      <w:r w:rsidR="007F1573">
        <w:fldChar w:fldCharType="begin"/>
      </w:r>
      <w:r w:rsidR="007F1573" w:rsidRPr="002B0838">
        <w:rPr>
          <w:lang w:val="en-US"/>
        </w:rPr>
        <w:instrText xml:space="preserve"> HYPERLINK "mailto:lwarchol@wec24.pl" </w:instrText>
      </w:r>
      <w:r w:rsidR="007F1573">
        <w:fldChar w:fldCharType="separate"/>
      </w:r>
      <w:r w:rsidR="007562E2" w:rsidRPr="005A1629">
        <w:rPr>
          <w:rStyle w:val="Hipercze"/>
          <w:lang w:val="en-US"/>
        </w:rPr>
        <w:t>lwarchol@wec24.pl</w:t>
      </w:r>
      <w:r w:rsidR="007F1573">
        <w:rPr>
          <w:rStyle w:val="Hipercze"/>
          <w:lang w:val="en-US"/>
        </w:rPr>
        <w:fldChar w:fldCharType="end"/>
      </w:r>
      <w:r w:rsidRPr="00D911CC">
        <w:rPr>
          <w:lang w:val="en-US"/>
        </w:rPr>
        <w:br/>
      </w:r>
      <w:proofErr w:type="spellStart"/>
      <w:r w:rsidRPr="00D911CC">
        <w:rPr>
          <w:lang w:val="en-US"/>
        </w:rPr>
        <w:t>Telefon</w:t>
      </w:r>
      <w:proofErr w:type="spellEnd"/>
      <w:r w:rsidRPr="00D911CC">
        <w:rPr>
          <w:lang w:val="en-US"/>
        </w:rPr>
        <w:t>: 535 954 212</w:t>
      </w:r>
    </w:p>
    <w:sectPr w:rsidR="007C170C" w:rsidRPr="00D911CC" w:rsidSect="00444801">
      <w:headerReference w:type="default" r:id="rId9"/>
      <w:footerReference w:type="default" r:id="rId10"/>
      <w:pgSz w:w="11906" w:h="16838"/>
      <w:pgMar w:top="2268" w:right="1418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0D718" w14:textId="77777777" w:rsidR="007F1573" w:rsidRDefault="007F1573" w:rsidP="001010D1">
      <w:pPr>
        <w:spacing w:after="0" w:line="240" w:lineRule="auto"/>
      </w:pPr>
      <w:r>
        <w:separator/>
      </w:r>
    </w:p>
  </w:endnote>
  <w:endnote w:type="continuationSeparator" w:id="0">
    <w:p w14:paraId="6990564F" w14:textId="77777777" w:rsidR="007F1573" w:rsidRDefault="007F1573" w:rsidP="0010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55557" w14:textId="77777777" w:rsidR="001010D1" w:rsidRDefault="004448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3A438DCB" wp14:editId="4CA3767E">
          <wp:simplePos x="0" y="0"/>
          <wp:positionH relativeFrom="page">
            <wp:posOffset>6858000</wp:posOffset>
          </wp:positionH>
          <wp:positionV relativeFrom="page">
            <wp:posOffset>9963150</wp:posOffset>
          </wp:positionV>
          <wp:extent cx="224790" cy="722630"/>
          <wp:effectExtent l="0" t="0" r="381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reski pod ka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D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605AB99" wp14:editId="1294CEAC">
              <wp:simplePos x="0" y="0"/>
              <wp:positionH relativeFrom="margin">
                <wp:posOffset>5186045</wp:posOffset>
              </wp:positionH>
              <wp:positionV relativeFrom="page">
                <wp:posOffset>10301605</wp:posOffset>
              </wp:positionV>
              <wp:extent cx="925195" cy="16764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ECB6E" w14:textId="77777777" w:rsidR="001072FF" w:rsidRDefault="001072FF" w:rsidP="001072FF">
                          <w:pPr>
                            <w:pStyle w:val="Tekstwstopce-stronawww"/>
                          </w:pPr>
                          <w:r>
                            <w:t>www.gorepair.pl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5AB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8.35pt;margin-top:811.15pt;width:72.85pt;height:13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" filled="f" stroked="f">
              <v:textbox style="mso-fit-shape-to-text:t" inset="0,0,0,0">
                <w:txbxContent>
                  <w:p w14:paraId="6C9ECB6E" w14:textId="77777777" w:rsidR="001072FF" w:rsidRDefault="001072FF" w:rsidP="001072FF">
                    <w:pPr>
                      <w:pStyle w:val="Tekstwstopce-stronawww"/>
                    </w:pPr>
                    <w:r>
                      <w:t>www.gorepair.pl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C211DB"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71C957E6" wp14:editId="543E1454">
              <wp:simplePos x="0" y="0"/>
              <wp:positionH relativeFrom="page">
                <wp:posOffset>540385</wp:posOffset>
              </wp:positionH>
              <wp:positionV relativeFrom="page">
                <wp:posOffset>10049510</wp:posOffset>
              </wp:positionV>
              <wp:extent cx="2534285" cy="39179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3BDCC" w14:textId="77777777" w:rsidR="001010D1" w:rsidRDefault="001072FF" w:rsidP="001072FF">
                          <w:pPr>
                            <w:pStyle w:val="Tekstwstopce-nazwafirmy"/>
                          </w:pPr>
                          <w:r>
                            <w:t xml:space="preserve">GoRepair Sp. z o.o., ul. </w:t>
                          </w:r>
                          <w:r w:rsidRPr="001072FF">
                            <w:t xml:space="preserve">Nad </w:t>
                          </w:r>
                          <w:proofErr w:type="spellStart"/>
                          <w:r w:rsidRPr="001072FF">
                            <w:t>Serafą</w:t>
                          </w:r>
                          <w:proofErr w:type="spellEnd"/>
                          <w:r w:rsidRPr="001072FF">
                            <w:t xml:space="preserve"> 56A</w:t>
                          </w:r>
                          <w:r>
                            <w:t>, 30-864 Kraków</w:t>
                          </w:r>
                        </w:p>
                        <w:p w14:paraId="55051792" w14:textId="77777777" w:rsidR="001072FF" w:rsidRDefault="001072FF" w:rsidP="001072FF">
                          <w:pPr>
                            <w:pStyle w:val="Tekstwstopce"/>
                          </w:pPr>
                          <w:r>
                            <w:t xml:space="preserve">NIP: </w:t>
                          </w:r>
                          <w:r w:rsidR="00DB7039" w:rsidRPr="00DB7039">
                            <w:t>679</w:t>
                          </w:r>
                          <w:r w:rsidR="00DB7039">
                            <w:t>-</w:t>
                          </w:r>
                          <w:r w:rsidR="00DB7039" w:rsidRPr="00DB7039">
                            <w:t>313</w:t>
                          </w:r>
                          <w:r w:rsidR="00DB7039">
                            <w:t>-</w:t>
                          </w:r>
                          <w:r w:rsidR="00DB7039" w:rsidRPr="00DB7039">
                            <w:t>13</w:t>
                          </w:r>
                          <w:r w:rsidR="00DB7039">
                            <w:t>-</w:t>
                          </w:r>
                          <w:r w:rsidR="00DB7039" w:rsidRPr="00DB7039">
                            <w:t>19</w:t>
                          </w:r>
                          <w:r>
                            <w:t xml:space="preserve">, KRS: </w:t>
                          </w:r>
                          <w:r w:rsidR="00DB7039" w:rsidRPr="00DB7039">
                            <w:t>0000626954</w:t>
                          </w:r>
                          <w:r>
                            <w:br/>
                            <w:t>Kapitał zakładowy: 1</w:t>
                          </w:r>
                          <w:r w:rsidR="00DB7039">
                            <w:t>5</w:t>
                          </w:r>
                          <w:r>
                            <w:t>0 000 zł (opłacony w całości)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957E6" id="_x0000_s1027" type="#_x0000_t202" style="position:absolute;left:0;text-align:left;margin-left:42.55pt;margin-top:791.3pt;width:199.55pt;height:30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" filled="f" stroked="f">
              <v:textbox inset="0,0,0,0">
                <w:txbxContent>
                  <w:p w14:paraId="4D33BDCC" w14:textId="77777777" w:rsidR="001010D1" w:rsidRDefault="001072FF" w:rsidP="001072FF">
                    <w:pPr>
                      <w:pStyle w:val="Tekstwstopce-nazwafirmy"/>
                    </w:pPr>
                    <w:r>
                      <w:t xml:space="preserve">GoRepair Sp. z o.o., ul. </w:t>
                    </w:r>
                    <w:r w:rsidRPr="001072FF">
                      <w:t xml:space="preserve">Nad </w:t>
                    </w:r>
                    <w:proofErr w:type="spellStart"/>
                    <w:r w:rsidRPr="001072FF">
                      <w:t>Serafą</w:t>
                    </w:r>
                    <w:proofErr w:type="spellEnd"/>
                    <w:r w:rsidRPr="001072FF">
                      <w:t xml:space="preserve"> 56A</w:t>
                    </w:r>
                    <w:r>
                      <w:t>, 30-864 Kraków</w:t>
                    </w:r>
                  </w:p>
                  <w:p w14:paraId="55051792" w14:textId="77777777" w:rsidR="001072FF" w:rsidRDefault="001072FF" w:rsidP="001072FF">
                    <w:pPr>
                      <w:pStyle w:val="Tekstwstopce"/>
                    </w:pPr>
                    <w:r>
                      <w:t xml:space="preserve">NIP: </w:t>
                    </w:r>
                    <w:r w:rsidR="00DB7039" w:rsidRPr="00DB7039">
                      <w:t>679</w:t>
                    </w:r>
                    <w:r w:rsidR="00DB7039">
                      <w:t>-</w:t>
                    </w:r>
                    <w:r w:rsidR="00DB7039" w:rsidRPr="00DB7039">
                      <w:t>313</w:t>
                    </w:r>
                    <w:r w:rsidR="00DB7039">
                      <w:t>-</w:t>
                    </w:r>
                    <w:r w:rsidR="00DB7039" w:rsidRPr="00DB7039">
                      <w:t>13</w:t>
                    </w:r>
                    <w:r w:rsidR="00DB7039">
                      <w:t>-</w:t>
                    </w:r>
                    <w:r w:rsidR="00DB7039" w:rsidRPr="00DB7039">
                      <w:t>19</w:t>
                    </w:r>
                    <w:r>
                      <w:t xml:space="preserve">, KRS: </w:t>
                    </w:r>
                    <w:r w:rsidR="00DB7039" w:rsidRPr="00DB7039">
                      <w:t>0000626954</w:t>
                    </w:r>
                    <w:r>
                      <w:br/>
                      <w:t>Kapitał zakładowy: 1</w:t>
                    </w:r>
                    <w:r w:rsidR="00DB7039">
                      <w:t>5</w:t>
                    </w:r>
                    <w:r>
                      <w:t>0 000 zł (opłacony w całości)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CEA43" w14:textId="77777777" w:rsidR="007F1573" w:rsidRDefault="007F1573" w:rsidP="001010D1">
      <w:pPr>
        <w:spacing w:after="0" w:line="240" w:lineRule="auto"/>
      </w:pPr>
      <w:r>
        <w:separator/>
      </w:r>
    </w:p>
  </w:footnote>
  <w:footnote w:type="continuationSeparator" w:id="0">
    <w:p w14:paraId="6EFEE3E1" w14:textId="77777777" w:rsidR="007F1573" w:rsidRDefault="007F1573" w:rsidP="0010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072F4" w14:textId="6BCAAB63" w:rsidR="001010D1" w:rsidRPr="007C170C" w:rsidRDefault="00EC356E" w:rsidP="006E2000">
    <w:pPr>
      <w:pStyle w:val="Nagwek"/>
      <w:tabs>
        <w:tab w:val="left" w:pos="142"/>
      </w:tabs>
      <w:jc w:val="right"/>
      <w:rPr>
        <w:rFonts w:asciiTheme="majorHAnsi" w:hAnsiTheme="majorHAnsi"/>
        <w:color w:val="E3731B"/>
        <w:sz w:val="32"/>
        <w:szCs w:val="32"/>
      </w:rPr>
    </w:pPr>
    <w:r w:rsidRPr="007C170C">
      <w:rPr>
        <w:rFonts w:asciiTheme="majorHAnsi" w:hAnsiTheme="majorHAnsi"/>
        <w:noProof/>
        <w:color w:val="E3731B"/>
        <w:sz w:val="32"/>
        <w:szCs w:val="32"/>
        <w:lang w:eastAsia="pl-PL"/>
      </w:rPr>
      <w:drawing>
        <wp:anchor distT="0" distB="0" distL="114300" distR="114300" simplePos="0" relativeHeight="251662336" behindDoc="0" locked="1" layoutInCell="1" allowOverlap="1" wp14:anchorId="21B0AB4E" wp14:editId="6FF220B1">
          <wp:simplePos x="0" y="0"/>
          <wp:positionH relativeFrom="page">
            <wp:posOffset>509270</wp:posOffset>
          </wp:positionH>
          <wp:positionV relativeFrom="page">
            <wp:posOffset>345440</wp:posOffset>
          </wp:positionV>
          <wp:extent cx="1605915" cy="359410"/>
          <wp:effectExtent l="0" t="0" r="0" b="2540"/>
          <wp:wrapNone/>
          <wp:docPr id="2" name="Obraz 2" descr="Logo GoRepair - poziome, bez ha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pair - poziome, bez ha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1DB" w:rsidRPr="007C170C">
      <w:rPr>
        <w:rFonts w:asciiTheme="majorHAnsi" w:hAnsiTheme="majorHAnsi"/>
        <w:noProof/>
        <w:color w:val="E3731B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750BC9" wp14:editId="0151CD74">
              <wp:simplePos x="0" y="0"/>
              <wp:positionH relativeFrom="page">
                <wp:posOffset>-791845</wp:posOffset>
              </wp:positionH>
              <wp:positionV relativeFrom="page">
                <wp:posOffset>-161925</wp:posOffset>
              </wp:positionV>
              <wp:extent cx="975360" cy="2372360"/>
              <wp:effectExtent l="209550" t="76200" r="186690" b="66040"/>
              <wp:wrapNone/>
              <wp:docPr id="19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600000">
                        <a:off x="0" y="0"/>
                        <a:ext cx="975360" cy="23723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14D934" id="Prostokąt 1" o:spid="_x0000_s1026" style="position:absolute;margin-left:-62.35pt;margin-top:-12.75pt;width:76.8pt;height:186.8pt;rotation:1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" fillcolor="#e3731b [3204]" stroked="f" strokeweight="1pt">
              <v:path arrowok="t"/>
              <w10:wrap anchorx="page" anchory="page"/>
              <w10:anchorlock/>
            </v:rect>
          </w:pict>
        </mc:Fallback>
      </mc:AlternateContent>
    </w:r>
    <w:r w:rsidR="002B0E25">
      <w:rPr>
        <w:rFonts w:asciiTheme="majorHAnsi" w:hAnsiTheme="majorHAnsi"/>
        <w:color w:val="E3731B"/>
        <w:sz w:val="32"/>
        <w:szCs w:val="32"/>
      </w:rPr>
      <w:t>ARTYKUŁ EKSPERCKI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E7F"/>
    <w:multiLevelType w:val="hybridMultilevel"/>
    <w:tmpl w:val="6B3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F06"/>
    <w:multiLevelType w:val="hybridMultilevel"/>
    <w:tmpl w:val="9FD8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35F"/>
    <w:multiLevelType w:val="hybridMultilevel"/>
    <w:tmpl w:val="6028790C"/>
    <w:lvl w:ilvl="0" w:tplc="E084A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122"/>
    <w:multiLevelType w:val="hybridMultilevel"/>
    <w:tmpl w:val="04B6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01"/>
    <w:multiLevelType w:val="hybridMultilevel"/>
    <w:tmpl w:val="A14A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A8E"/>
    <w:multiLevelType w:val="hybridMultilevel"/>
    <w:tmpl w:val="BD32C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4C51"/>
    <w:multiLevelType w:val="hybridMultilevel"/>
    <w:tmpl w:val="E3F6F154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A4B1F"/>
    <w:multiLevelType w:val="hybridMultilevel"/>
    <w:tmpl w:val="5DBE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7A18"/>
    <w:multiLevelType w:val="hybridMultilevel"/>
    <w:tmpl w:val="791488D2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9508B"/>
    <w:multiLevelType w:val="hybridMultilevel"/>
    <w:tmpl w:val="4AD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00"/>
    <w:rsid w:val="00012760"/>
    <w:rsid w:val="0001626D"/>
    <w:rsid w:val="0002407F"/>
    <w:rsid w:val="00024975"/>
    <w:rsid w:val="000262EA"/>
    <w:rsid w:val="00037706"/>
    <w:rsid w:val="000447EF"/>
    <w:rsid w:val="00056693"/>
    <w:rsid w:val="00066079"/>
    <w:rsid w:val="000709D7"/>
    <w:rsid w:val="000725CD"/>
    <w:rsid w:val="00072E3F"/>
    <w:rsid w:val="00083421"/>
    <w:rsid w:val="000A418D"/>
    <w:rsid w:val="000A66C3"/>
    <w:rsid w:val="000A726D"/>
    <w:rsid w:val="000B648E"/>
    <w:rsid w:val="000D2488"/>
    <w:rsid w:val="000F1D4B"/>
    <w:rsid w:val="001010D1"/>
    <w:rsid w:val="00103E7B"/>
    <w:rsid w:val="001072FF"/>
    <w:rsid w:val="0011337C"/>
    <w:rsid w:val="00125374"/>
    <w:rsid w:val="00144ACD"/>
    <w:rsid w:val="0014602F"/>
    <w:rsid w:val="00150951"/>
    <w:rsid w:val="00152FEC"/>
    <w:rsid w:val="001540D4"/>
    <w:rsid w:val="00176BD2"/>
    <w:rsid w:val="00187C4A"/>
    <w:rsid w:val="0019246F"/>
    <w:rsid w:val="001A0AD6"/>
    <w:rsid w:val="001A1F94"/>
    <w:rsid w:val="001C74CE"/>
    <w:rsid w:val="001D556A"/>
    <w:rsid w:val="001E0676"/>
    <w:rsid w:val="001E3F2D"/>
    <w:rsid w:val="001F0A58"/>
    <w:rsid w:val="00202F44"/>
    <w:rsid w:val="0020429D"/>
    <w:rsid w:val="002050D7"/>
    <w:rsid w:val="002062FD"/>
    <w:rsid w:val="00215445"/>
    <w:rsid w:val="00220E0C"/>
    <w:rsid w:val="002454AD"/>
    <w:rsid w:val="00270CF7"/>
    <w:rsid w:val="00274DE3"/>
    <w:rsid w:val="00281B46"/>
    <w:rsid w:val="002834F2"/>
    <w:rsid w:val="00283F14"/>
    <w:rsid w:val="002851BA"/>
    <w:rsid w:val="00286FD4"/>
    <w:rsid w:val="00294689"/>
    <w:rsid w:val="002A3570"/>
    <w:rsid w:val="002A57F1"/>
    <w:rsid w:val="002B0838"/>
    <w:rsid w:val="002B0E25"/>
    <w:rsid w:val="002C5905"/>
    <w:rsid w:val="002E6C77"/>
    <w:rsid w:val="002E7192"/>
    <w:rsid w:val="002F5873"/>
    <w:rsid w:val="002F650A"/>
    <w:rsid w:val="003226EE"/>
    <w:rsid w:val="00322CE5"/>
    <w:rsid w:val="003360CE"/>
    <w:rsid w:val="003415E8"/>
    <w:rsid w:val="00352B2B"/>
    <w:rsid w:val="00353CA3"/>
    <w:rsid w:val="00360E2F"/>
    <w:rsid w:val="0036663B"/>
    <w:rsid w:val="003712E6"/>
    <w:rsid w:val="00372652"/>
    <w:rsid w:val="00382A32"/>
    <w:rsid w:val="0039143B"/>
    <w:rsid w:val="003B0768"/>
    <w:rsid w:val="003B328C"/>
    <w:rsid w:val="003B3807"/>
    <w:rsid w:val="003B3E43"/>
    <w:rsid w:val="003B4641"/>
    <w:rsid w:val="003C320F"/>
    <w:rsid w:val="003D31CB"/>
    <w:rsid w:val="003D3C70"/>
    <w:rsid w:val="003F0CB6"/>
    <w:rsid w:val="003F693F"/>
    <w:rsid w:val="00400692"/>
    <w:rsid w:val="0040362C"/>
    <w:rsid w:val="00410A6F"/>
    <w:rsid w:val="00412E78"/>
    <w:rsid w:val="00420DDF"/>
    <w:rsid w:val="004210CB"/>
    <w:rsid w:val="00425259"/>
    <w:rsid w:val="00425EFF"/>
    <w:rsid w:val="00433604"/>
    <w:rsid w:val="00444801"/>
    <w:rsid w:val="00444B2C"/>
    <w:rsid w:val="00454D8E"/>
    <w:rsid w:val="004640B4"/>
    <w:rsid w:val="00470D58"/>
    <w:rsid w:val="00477A96"/>
    <w:rsid w:val="00482EC2"/>
    <w:rsid w:val="0049785D"/>
    <w:rsid w:val="004B57D6"/>
    <w:rsid w:val="004E0F52"/>
    <w:rsid w:val="004E63E7"/>
    <w:rsid w:val="004F1626"/>
    <w:rsid w:val="004F3532"/>
    <w:rsid w:val="004F58EC"/>
    <w:rsid w:val="0052043C"/>
    <w:rsid w:val="00524A3A"/>
    <w:rsid w:val="00532230"/>
    <w:rsid w:val="005340F6"/>
    <w:rsid w:val="0054563B"/>
    <w:rsid w:val="00550723"/>
    <w:rsid w:val="00554819"/>
    <w:rsid w:val="005566AC"/>
    <w:rsid w:val="00570D76"/>
    <w:rsid w:val="005713A0"/>
    <w:rsid w:val="00571F9E"/>
    <w:rsid w:val="00593242"/>
    <w:rsid w:val="005B2401"/>
    <w:rsid w:val="005B3426"/>
    <w:rsid w:val="005C66FF"/>
    <w:rsid w:val="005C7261"/>
    <w:rsid w:val="005D3AA7"/>
    <w:rsid w:val="005D50B1"/>
    <w:rsid w:val="005D7EB7"/>
    <w:rsid w:val="005E0D80"/>
    <w:rsid w:val="005E36D1"/>
    <w:rsid w:val="005E7B13"/>
    <w:rsid w:val="005F2074"/>
    <w:rsid w:val="005F791A"/>
    <w:rsid w:val="005F7929"/>
    <w:rsid w:val="00605EA1"/>
    <w:rsid w:val="006066C1"/>
    <w:rsid w:val="00611DDD"/>
    <w:rsid w:val="00612EEE"/>
    <w:rsid w:val="00613933"/>
    <w:rsid w:val="00627633"/>
    <w:rsid w:val="006317CA"/>
    <w:rsid w:val="00636379"/>
    <w:rsid w:val="00637C1F"/>
    <w:rsid w:val="00643E9B"/>
    <w:rsid w:val="0064421C"/>
    <w:rsid w:val="00650A19"/>
    <w:rsid w:val="00660982"/>
    <w:rsid w:val="00663895"/>
    <w:rsid w:val="0066776C"/>
    <w:rsid w:val="00673843"/>
    <w:rsid w:val="006823C4"/>
    <w:rsid w:val="0068538F"/>
    <w:rsid w:val="006911DD"/>
    <w:rsid w:val="006A336C"/>
    <w:rsid w:val="006A4431"/>
    <w:rsid w:val="006B5830"/>
    <w:rsid w:val="006C221E"/>
    <w:rsid w:val="006D46B8"/>
    <w:rsid w:val="006E2000"/>
    <w:rsid w:val="006E33BA"/>
    <w:rsid w:val="006F30B7"/>
    <w:rsid w:val="006F7A1B"/>
    <w:rsid w:val="007073CD"/>
    <w:rsid w:val="007076BF"/>
    <w:rsid w:val="00734EB0"/>
    <w:rsid w:val="00737048"/>
    <w:rsid w:val="00737743"/>
    <w:rsid w:val="007550DF"/>
    <w:rsid w:val="007562E2"/>
    <w:rsid w:val="0075706B"/>
    <w:rsid w:val="007638D3"/>
    <w:rsid w:val="00776BCC"/>
    <w:rsid w:val="00780836"/>
    <w:rsid w:val="007814DF"/>
    <w:rsid w:val="00794BEF"/>
    <w:rsid w:val="00795C08"/>
    <w:rsid w:val="00797BF4"/>
    <w:rsid w:val="007A572A"/>
    <w:rsid w:val="007B4CA3"/>
    <w:rsid w:val="007B764D"/>
    <w:rsid w:val="007B7DFA"/>
    <w:rsid w:val="007C170C"/>
    <w:rsid w:val="007C630A"/>
    <w:rsid w:val="007D04D0"/>
    <w:rsid w:val="007D1029"/>
    <w:rsid w:val="007E373B"/>
    <w:rsid w:val="007E3872"/>
    <w:rsid w:val="007E6BD9"/>
    <w:rsid w:val="007F1573"/>
    <w:rsid w:val="007F783C"/>
    <w:rsid w:val="00806411"/>
    <w:rsid w:val="00833341"/>
    <w:rsid w:val="00836AE4"/>
    <w:rsid w:val="008474DB"/>
    <w:rsid w:val="00850E53"/>
    <w:rsid w:val="00860EDB"/>
    <w:rsid w:val="00867FA3"/>
    <w:rsid w:val="00871626"/>
    <w:rsid w:val="008A0F95"/>
    <w:rsid w:val="008A3B09"/>
    <w:rsid w:val="008B511B"/>
    <w:rsid w:val="008C6B76"/>
    <w:rsid w:val="008D33EA"/>
    <w:rsid w:val="008E6042"/>
    <w:rsid w:val="008F04BD"/>
    <w:rsid w:val="0090062A"/>
    <w:rsid w:val="00900EAD"/>
    <w:rsid w:val="00904480"/>
    <w:rsid w:val="00905BA1"/>
    <w:rsid w:val="009114E2"/>
    <w:rsid w:val="00916D70"/>
    <w:rsid w:val="00922549"/>
    <w:rsid w:val="00922D5A"/>
    <w:rsid w:val="00937424"/>
    <w:rsid w:val="009439DB"/>
    <w:rsid w:val="00965E63"/>
    <w:rsid w:val="00981E10"/>
    <w:rsid w:val="00982F24"/>
    <w:rsid w:val="00984E1F"/>
    <w:rsid w:val="00996A00"/>
    <w:rsid w:val="009A0E03"/>
    <w:rsid w:val="009A1E15"/>
    <w:rsid w:val="009B3609"/>
    <w:rsid w:val="009D00F5"/>
    <w:rsid w:val="009D3105"/>
    <w:rsid w:val="009E02BF"/>
    <w:rsid w:val="009E44A0"/>
    <w:rsid w:val="009E4AEE"/>
    <w:rsid w:val="00A03AA4"/>
    <w:rsid w:val="00A13026"/>
    <w:rsid w:val="00A253A6"/>
    <w:rsid w:val="00A47891"/>
    <w:rsid w:val="00A63782"/>
    <w:rsid w:val="00A661CB"/>
    <w:rsid w:val="00A709CF"/>
    <w:rsid w:val="00A8542F"/>
    <w:rsid w:val="00AB2C84"/>
    <w:rsid w:val="00AB379B"/>
    <w:rsid w:val="00AD1CF1"/>
    <w:rsid w:val="00AD2BAD"/>
    <w:rsid w:val="00AD4C3A"/>
    <w:rsid w:val="00AD5D4F"/>
    <w:rsid w:val="00AD7D92"/>
    <w:rsid w:val="00AE0F2D"/>
    <w:rsid w:val="00AE5A0E"/>
    <w:rsid w:val="00AE6ACB"/>
    <w:rsid w:val="00B106CB"/>
    <w:rsid w:val="00B147EF"/>
    <w:rsid w:val="00B15585"/>
    <w:rsid w:val="00B26C75"/>
    <w:rsid w:val="00B31293"/>
    <w:rsid w:val="00B34BE8"/>
    <w:rsid w:val="00B5453E"/>
    <w:rsid w:val="00B643AA"/>
    <w:rsid w:val="00B658AA"/>
    <w:rsid w:val="00B65E8F"/>
    <w:rsid w:val="00B66334"/>
    <w:rsid w:val="00B82CC2"/>
    <w:rsid w:val="00B93F65"/>
    <w:rsid w:val="00BB1463"/>
    <w:rsid w:val="00BB1F39"/>
    <w:rsid w:val="00BB5102"/>
    <w:rsid w:val="00BC2C4E"/>
    <w:rsid w:val="00BD0149"/>
    <w:rsid w:val="00BD10C3"/>
    <w:rsid w:val="00BD1CB3"/>
    <w:rsid w:val="00BD4848"/>
    <w:rsid w:val="00BD7C9B"/>
    <w:rsid w:val="00C13622"/>
    <w:rsid w:val="00C211DB"/>
    <w:rsid w:val="00C21A5D"/>
    <w:rsid w:val="00C30590"/>
    <w:rsid w:val="00C37111"/>
    <w:rsid w:val="00C40808"/>
    <w:rsid w:val="00C40EA3"/>
    <w:rsid w:val="00C457BB"/>
    <w:rsid w:val="00C845BF"/>
    <w:rsid w:val="00C95F46"/>
    <w:rsid w:val="00CB01D8"/>
    <w:rsid w:val="00CB19F0"/>
    <w:rsid w:val="00CC0D9D"/>
    <w:rsid w:val="00CD56A9"/>
    <w:rsid w:val="00CD73E2"/>
    <w:rsid w:val="00CF2397"/>
    <w:rsid w:val="00D0353F"/>
    <w:rsid w:val="00D04A0F"/>
    <w:rsid w:val="00D116B2"/>
    <w:rsid w:val="00D128B9"/>
    <w:rsid w:val="00D171EC"/>
    <w:rsid w:val="00D20EA5"/>
    <w:rsid w:val="00D21689"/>
    <w:rsid w:val="00D23AB2"/>
    <w:rsid w:val="00D2448F"/>
    <w:rsid w:val="00D25169"/>
    <w:rsid w:val="00D52EE0"/>
    <w:rsid w:val="00D55E50"/>
    <w:rsid w:val="00D6148B"/>
    <w:rsid w:val="00D75023"/>
    <w:rsid w:val="00D762E6"/>
    <w:rsid w:val="00D80A84"/>
    <w:rsid w:val="00D81D73"/>
    <w:rsid w:val="00D84DAC"/>
    <w:rsid w:val="00D85312"/>
    <w:rsid w:val="00D86195"/>
    <w:rsid w:val="00D911CC"/>
    <w:rsid w:val="00D91401"/>
    <w:rsid w:val="00DB6C2F"/>
    <w:rsid w:val="00DB7039"/>
    <w:rsid w:val="00DE0111"/>
    <w:rsid w:val="00DE0BF2"/>
    <w:rsid w:val="00DE6082"/>
    <w:rsid w:val="00DF1F2C"/>
    <w:rsid w:val="00DF58E5"/>
    <w:rsid w:val="00E0431F"/>
    <w:rsid w:val="00E220CA"/>
    <w:rsid w:val="00E25142"/>
    <w:rsid w:val="00E2670D"/>
    <w:rsid w:val="00E317B2"/>
    <w:rsid w:val="00E4132B"/>
    <w:rsid w:val="00E41551"/>
    <w:rsid w:val="00E44E61"/>
    <w:rsid w:val="00E50159"/>
    <w:rsid w:val="00E52985"/>
    <w:rsid w:val="00E60C5F"/>
    <w:rsid w:val="00E63668"/>
    <w:rsid w:val="00E63ECA"/>
    <w:rsid w:val="00E64C22"/>
    <w:rsid w:val="00E71124"/>
    <w:rsid w:val="00E75D8F"/>
    <w:rsid w:val="00EB451F"/>
    <w:rsid w:val="00EB6C34"/>
    <w:rsid w:val="00EC356E"/>
    <w:rsid w:val="00ED1513"/>
    <w:rsid w:val="00ED1A6A"/>
    <w:rsid w:val="00EE77FE"/>
    <w:rsid w:val="00EE7F1D"/>
    <w:rsid w:val="00EF2C34"/>
    <w:rsid w:val="00F25352"/>
    <w:rsid w:val="00F52B78"/>
    <w:rsid w:val="00F63E0B"/>
    <w:rsid w:val="00F86D75"/>
    <w:rsid w:val="00F8726A"/>
    <w:rsid w:val="00FA1226"/>
    <w:rsid w:val="00FA200C"/>
    <w:rsid w:val="00FE2CA0"/>
    <w:rsid w:val="00FF024C"/>
    <w:rsid w:val="00FF0F8F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9FFF"/>
  <w15:docId w15:val="{F0C51417-F8E6-43F6-A8C7-12FBDE47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7743"/>
    <w:pPr>
      <w:spacing w:line="312" w:lineRule="auto"/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C0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743"/>
    <w:pPr>
      <w:keepNext/>
      <w:keepLines/>
      <w:spacing w:before="360" w:after="80"/>
      <w:jc w:val="left"/>
      <w:outlineLvl w:val="1"/>
    </w:pPr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83C"/>
    <w:pPr>
      <w:keepNext/>
      <w:keepLines/>
      <w:spacing w:before="240"/>
      <w:jc w:val="left"/>
      <w:outlineLvl w:val="2"/>
    </w:pPr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83C"/>
    <w:pPr>
      <w:keepNext/>
      <w:keepLines/>
      <w:spacing w:before="120"/>
      <w:jc w:val="left"/>
      <w:outlineLvl w:val="3"/>
    </w:pPr>
    <w:rPr>
      <w:rFonts w:asciiTheme="majorHAnsi" w:eastAsiaTheme="majorEastAsia" w:hAnsiTheme="majorHAnsi" w:cstheme="majorBidi"/>
      <w:iCs/>
      <w:color w:val="E3731B" w:themeColor="accent1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83C"/>
    <w:pPr>
      <w:keepNext/>
      <w:keepLines/>
      <w:spacing w:before="120"/>
      <w:jc w:val="left"/>
      <w:outlineLvl w:val="4"/>
    </w:pPr>
    <w:rPr>
      <w:rFonts w:asciiTheme="majorHAnsi" w:eastAsiaTheme="majorEastAsia" w:hAnsiTheme="majorHAnsi" w:cstheme="majorBidi"/>
      <w:color w:val="E3731B" w:themeColor="accent1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210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390D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D1"/>
  </w:style>
  <w:style w:type="paragraph" w:styleId="Stopka">
    <w:name w:val="footer"/>
    <w:basedOn w:val="Normalny"/>
    <w:link w:val="Stopka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D1"/>
  </w:style>
  <w:style w:type="paragraph" w:customStyle="1" w:styleId="Tekstwstopce">
    <w:name w:val="Tekst w stopce"/>
    <w:basedOn w:val="Normalny"/>
    <w:qFormat/>
    <w:rsid w:val="00795C08"/>
    <w:pPr>
      <w:spacing w:after="60" w:line="259" w:lineRule="auto"/>
      <w:jc w:val="left"/>
    </w:pPr>
    <w:rPr>
      <w:color w:val="878787" w:themeColor="accent5"/>
      <w:sz w:val="13"/>
    </w:rPr>
  </w:style>
  <w:style w:type="paragraph" w:customStyle="1" w:styleId="Tekstwstopce-nazwafirmy">
    <w:name w:val="Tekst w stopce - nazwa firmy"/>
    <w:basedOn w:val="Tekstwstopce"/>
    <w:qFormat/>
    <w:rsid w:val="001072FF"/>
    <w:rPr>
      <w:sz w:val="15"/>
    </w:rPr>
  </w:style>
  <w:style w:type="paragraph" w:customStyle="1" w:styleId="Tekstwstopce-stronawww">
    <w:name w:val="Tekst w stopce - strona www"/>
    <w:basedOn w:val="Tekstwstopce-nazwafirmy"/>
    <w:qFormat/>
    <w:rsid w:val="001072FF"/>
    <w:pPr>
      <w:jc w:val="right"/>
    </w:pPr>
    <w:rPr>
      <w:b/>
      <w:color w:val="E3731B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95C08"/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7743"/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37743"/>
    <w:pPr>
      <w:spacing w:before="960" w:after="480" w:line="259" w:lineRule="auto"/>
      <w:contextualSpacing/>
      <w:jc w:val="left"/>
    </w:pPr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7743"/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7F783C"/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83C"/>
    <w:rPr>
      <w:rFonts w:asciiTheme="majorHAnsi" w:eastAsiaTheme="majorEastAsia" w:hAnsiTheme="majorHAnsi" w:cstheme="majorBidi"/>
      <w:iCs/>
      <w:color w:val="E3731B" w:themeColor="accent1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7F783C"/>
    <w:rPr>
      <w:rFonts w:asciiTheme="majorHAnsi" w:eastAsiaTheme="majorEastAsia" w:hAnsiTheme="majorHAnsi" w:cstheme="majorBidi"/>
      <w:color w:val="E3731B" w:themeColor="accent1"/>
      <w:sz w:val="24"/>
    </w:rPr>
  </w:style>
  <w:style w:type="character" w:styleId="Hipercze">
    <w:name w:val="Hyperlink"/>
    <w:basedOn w:val="Domylnaczcionkaakapitu"/>
    <w:uiPriority w:val="99"/>
    <w:unhideWhenUsed/>
    <w:rsid w:val="00EC356E"/>
    <w:rPr>
      <w:color w:val="4665A3" w:themeColor="hyperlink"/>
      <w:u w:val="single"/>
    </w:rPr>
  </w:style>
  <w:style w:type="table" w:styleId="Tabela-Siatka">
    <w:name w:val="Table Grid"/>
    <w:basedOn w:val="Standardowy"/>
    <w:uiPriority w:val="39"/>
    <w:rsid w:val="00EC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56E"/>
    <w:pPr>
      <w:ind w:left="720"/>
      <w:contextualSpacing/>
    </w:pPr>
  </w:style>
  <w:style w:type="table" w:customStyle="1" w:styleId="Tabelalisty1jasnaakcent51">
    <w:name w:val="Tabela listy 1 — jasna — akcent 5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B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5" w:themeFillTint="33"/>
      </w:tcPr>
    </w:tblStylePr>
    <w:tblStylePr w:type="band1Horz">
      <w:tblPr/>
      <w:tcPr>
        <w:shd w:val="clear" w:color="auto" w:fill="E7E7E7" w:themeFill="accent5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5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A5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1" w:themeFill="accent4" w:themeFillTint="33"/>
      </w:tcPr>
    </w:tblStylePr>
    <w:tblStylePr w:type="band1Horz">
      <w:tblPr/>
      <w:tcPr>
        <w:shd w:val="clear" w:color="auto" w:fill="DEE1E1" w:themeFill="accent4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470D58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470D58"/>
    <w:rPr>
      <w:rFonts w:eastAsiaTheme="minorEastAsia"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0D58"/>
    <w:pPr>
      <w:spacing w:before="240" w:after="0"/>
      <w:outlineLvl w:val="9"/>
    </w:pPr>
    <w:rPr>
      <w:color w:val="A95514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0D5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0D5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70D58"/>
    <w:pPr>
      <w:spacing w:after="100"/>
      <w:ind w:left="440"/>
    </w:pPr>
  </w:style>
  <w:style w:type="character" w:styleId="Wyrnieniedelikatne">
    <w:name w:val="Subtle Emphasis"/>
    <w:basedOn w:val="Domylnaczcionkaakapitu"/>
    <w:uiPriority w:val="19"/>
    <w:qFormat/>
    <w:rsid w:val="00470D58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CE"/>
    <w:rPr>
      <w:rFonts w:ascii="Tahoma" w:hAnsi="Tahoma" w:cs="Tahoma"/>
      <w:color w:val="404040" w:themeColor="text1" w:themeTint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0CE"/>
    <w:rPr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0CE"/>
    <w:rPr>
      <w:b/>
      <w:bCs/>
      <w:color w:val="404040" w:themeColor="text1" w:themeTint="BF"/>
      <w:sz w:val="20"/>
      <w:szCs w:val="20"/>
    </w:rPr>
  </w:style>
  <w:style w:type="paragraph" w:customStyle="1" w:styleId="Normalny-tabela">
    <w:name w:val="Normalny - tabela"/>
    <w:basedOn w:val="Normalny"/>
    <w:qFormat/>
    <w:rsid w:val="00737743"/>
    <w:pPr>
      <w:spacing w:before="80" w:after="80" w:line="288" w:lineRule="auto"/>
      <w:jc w:val="left"/>
    </w:pPr>
    <w:rPr>
      <w:sz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743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43"/>
    <w:rPr>
      <w:color w:val="404040" w:themeColor="text1" w:themeTint="BF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3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626"/>
    <w:rPr>
      <w:color w:val="404040" w:themeColor="text1" w:themeTint="B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626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4210CB"/>
    <w:rPr>
      <w:rFonts w:asciiTheme="majorHAnsi" w:eastAsiaTheme="majorEastAsia" w:hAnsiTheme="majorHAnsi" w:cstheme="majorBidi"/>
      <w:color w:val="70390D" w:themeColor="accent1" w:themeShade="7F"/>
    </w:rPr>
  </w:style>
  <w:style w:type="paragraph" w:customStyle="1" w:styleId="Dataimiejscenadania">
    <w:name w:val="Data i miejsce nadania"/>
    <w:basedOn w:val="Normalny"/>
    <w:next w:val="Normalny"/>
    <w:qFormat/>
    <w:rsid w:val="00C211DB"/>
    <w:pPr>
      <w:spacing w:after="320"/>
    </w:pPr>
  </w:style>
  <w:style w:type="paragraph" w:customStyle="1" w:styleId="Adresodbiorcy">
    <w:name w:val="Adres odbiorcy"/>
    <w:basedOn w:val="Normalny"/>
    <w:next w:val="Normalny"/>
    <w:qFormat/>
    <w:rsid w:val="00C211DB"/>
    <w:pPr>
      <w:spacing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epa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oRepai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731B"/>
      </a:accent1>
      <a:accent2>
        <a:srgbClr val="4665A3"/>
      </a:accent2>
      <a:accent3>
        <a:srgbClr val="33718F"/>
      </a:accent3>
      <a:accent4>
        <a:srgbClr val="616869"/>
      </a:accent4>
      <a:accent5>
        <a:srgbClr val="878787"/>
      </a:accent5>
      <a:accent6>
        <a:srgbClr val="70AD47"/>
      </a:accent6>
      <a:hlink>
        <a:srgbClr val="4665A3"/>
      </a:hlink>
      <a:folHlink>
        <a:srgbClr val="1E4E79"/>
      </a:folHlink>
    </a:clrScheme>
    <a:fontScheme name="GoRepair">
      <a:majorFont>
        <a:latin typeface="Roboto Light"/>
        <a:ea typeface=""/>
        <a:cs typeface=""/>
      </a:majorFont>
      <a:minorFont>
        <a:latin typeface="Robo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2E4C-FE55-45F0-9413-EC49F7FA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GoRepair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Pachota</dc:creator>
  <cp:lastModifiedBy>Łukasz Warchoł</cp:lastModifiedBy>
  <cp:revision>6</cp:revision>
  <cp:lastPrinted>2016-11-25T09:11:00Z</cp:lastPrinted>
  <dcterms:created xsi:type="dcterms:W3CDTF">2017-05-24T07:59:00Z</dcterms:created>
  <dcterms:modified xsi:type="dcterms:W3CDTF">2017-05-24T13:38:00Z</dcterms:modified>
</cp:coreProperties>
</file>