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1F43A" w14:textId="6D43B039" w:rsidR="00CA17AB" w:rsidRPr="00CA47C9" w:rsidRDefault="00B43B7A" w:rsidP="000E700E">
      <w:pPr>
        <w:jc w:val="both"/>
        <w:rPr>
          <w:b/>
        </w:rPr>
      </w:pPr>
      <w:r>
        <w:rPr>
          <w:b/>
        </w:rPr>
        <w:t xml:space="preserve"> </w:t>
      </w:r>
      <w:r w:rsidR="00CA17AB" w:rsidRPr="00CA47C9">
        <w:rPr>
          <w:b/>
        </w:rPr>
        <w:t>BACKGROUNDER</w:t>
      </w:r>
    </w:p>
    <w:p w14:paraId="61130BB1" w14:textId="77777777" w:rsidR="00CA17AB" w:rsidRPr="00CA47C9" w:rsidRDefault="00CA17AB" w:rsidP="000E700E">
      <w:pPr>
        <w:jc w:val="both"/>
        <w:rPr>
          <w:b/>
        </w:rPr>
      </w:pPr>
      <w:r w:rsidRPr="00CA47C9">
        <w:rPr>
          <w:b/>
        </w:rPr>
        <w:t>RAPORT „PRACA I PRZEDSIĘBIORCZOŚĆ KOBIET – POTENCJAŁ DO WYKORZYSTANIA W POLSCE”</w:t>
      </w:r>
    </w:p>
    <w:p w14:paraId="32B46F1A" w14:textId="25D06F38" w:rsidR="00CA17AB" w:rsidRDefault="00092A0F" w:rsidP="000E700E">
      <w:pPr>
        <w:jc w:val="both"/>
      </w:pPr>
      <w:r>
        <w:t xml:space="preserve">Raport „Praca i przedsiębiorczość kobiet – potencjał do wykorzystania w Polsce” został przygotowany </w:t>
      </w:r>
      <w:r w:rsidR="00B43B7A">
        <w:t>na zlecenie firmy Coca-Cola</w:t>
      </w:r>
      <w:r w:rsidR="00E324A3">
        <w:t xml:space="preserve"> </w:t>
      </w:r>
      <w:r w:rsidR="00E324A3">
        <w:t>przez Deloitte CE</w:t>
      </w:r>
      <w:bookmarkStart w:id="0" w:name="_GoBack"/>
      <w:bookmarkEnd w:id="0"/>
      <w:r>
        <w:t>. Materiał jest częścią ogólnopolskiego programu aktywizacji zawodowej kobiet</w:t>
      </w:r>
      <w:r w:rsidR="00CA17AB">
        <w:t xml:space="preserve"> „Sukces </w:t>
      </w:r>
      <w:r w:rsidR="00B43B7A">
        <w:t>to</w:t>
      </w:r>
      <w:r w:rsidR="00CA17AB">
        <w:t xml:space="preserve"> JA”, który Coca</w:t>
      </w:r>
      <w:r w:rsidR="00625C01">
        <w:t xml:space="preserve"> </w:t>
      </w:r>
      <w:r w:rsidR="00CA17AB">
        <w:t xml:space="preserve">Cola zainicjowała wspólnie z organizacją Sukces Pisany Szminką. </w:t>
      </w:r>
    </w:p>
    <w:p w14:paraId="4F16FE34" w14:textId="77777777" w:rsidR="008E1324" w:rsidRDefault="00CA17AB" w:rsidP="000E700E">
      <w:pPr>
        <w:jc w:val="both"/>
      </w:pPr>
      <w:r>
        <w:t xml:space="preserve">Premiera raportu odbyła się 2 lutego 2017 podczas pierwszego </w:t>
      </w:r>
      <w:r w:rsidR="00625C01">
        <w:t xml:space="preserve">spotkania w ramach </w:t>
      </w:r>
      <w:r>
        <w:t>Forum Rynku Pracy – inicjatywy powołanej do życia przez Związek Przedsiębiorców i Pracodawców w odpowiedzi na złe prognozy dla polskiego rynku pracy.</w:t>
      </w:r>
    </w:p>
    <w:p w14:paraId="4022EEDA" w14:textId="77777777" w:rsidR="00F95289" w:rsidRDefault="00F55E37" w:rsidP="000E700E">
      <w:pPr>
        <w:jc w:val="both"/>
      </w:pPr>
      <w:r>
        <w:t xml:space="preserve">Jednymi z kluczowych czynników wpływających na taką sytuację są demografia oraz aktywność zawodowa społeczeństwa. </w:t>
      </w:r>
      <w:r w:rsidR="00724788">
        <w:t>Jak pokazuje raport „Praca i przedsiębiorczość kobiet – potencjał do wykorzystania na rynku pracy” na tle populacji Polski (38,44 mln) oraz liczby ludzi w wieku produkcyjnym (23,98</w:t>
      </w:r>
      <w:r w:rsidR="00625C01">
        <w:t xml:space="preserve"> </w:t>
      </w:r>
      <w:r w:rsidR="00724788">
        <w:t>mln), wskaźnik osób pracujących wypada bardzo niekorzystnie (16,10 mln). Ponadto w</w:t>
      </w:r>
      <w:r>
        <w:t>skutek starzenia się ludności od 2010 r. w Polsce ubyło niemal 1 mln osób w wieku produkcyjny</w:t>
      </w:r>
      <w:r w:rsidR="00BF78DB">
        <w:t>m</w:t>
      </w:r>
      <w:r>
        <w:t>. Ten niekorzystny efekt dla gospodarki jest pogłębiany przez niski wskaźnik aktywności zawodowej kobiet. Wynosi on 61,4% i jest</w:t>
      </w:r>
      <w:r w:rsidR="00F95289">
        <w:t xml:space="preserve"> znacząco</w:t>
      </w:r>
      <w:r>
        <w:t xml:space="preserve"> niższy </w:t>
      </w:r>
      <w:r w:rsidR="00F95289">
        <w:t xml:space="preserve">nie tylko </w:t>
      </w:r>
      <w:r>
        <w:t>od średniej</w:t>
      </w:r>
      <w:r w:rsidR="00F95289">
        <w:t xml:space="preserve"> aktywności mężczyzn </w:t>
      </w:r>
      <w:r w:rsidR="00CA47C9">
        <w:t>(74,8%)</w:t>
      </w:r>
      <w:r w:rsidR="00F95289">
        <w:t xml:space="preserve"> lecz także kobiet pracujących w Unii Europejskiej (67,1%)</w:t>
      </w:r>
    </w:p>
    <w:p w14:paraId="1731F27F" w14:textId="77777777" w:rsidR="00CA47C9" w:rsidRDefault="00724788" w:rsidP="000E700E">
      <w:pPr>
        <w:jc w:val="both"/>
      </w:pPr>
      <w:r>
        <w:t xml:space="preserve">Aż 4 na 10 Polek w wieku produkcyjnym nie pracuje i nie szuka pracy. Problem ten dotyczy szczególnie kobiet poniżej 24 roku życia oraz z grupy 55+. </w:t>
      </w:r>
      <w:r w:rsidR="006521BF">
        <w:t xml:space="preserve">Taka sytuacja bardzo negatywnie wpływa na </w:t>
      </w:r>
      <w:r w:rsidR="00625C01">
        <w:t>gospodarkę</w:t>
      </w:r>
      <w:r w:rsidR="006521BF">
        <w:t>. Według zawartej w raporcie symulacji przygotowanej przez ekspertów Deloitte, gdyby stop</w:t>
      </w:r>
      <w:r w:rsidR="00BF78DB">
        <w:t xml:space="preserve">a aktywności zawodowej Polek w </w:t>
      </w:r>
      <w:r w:rsidR="006521BF">
        <w:t xml:space="preserve">wieku 24 – 60 w najbliższych latach osiągnęła </w:t>
      </w:r>
      <w:r w:rsidR="00625C01">
        <w:t xml:space="preserve">średni </w:t>
      </w:r>
      <w:r w:rsidR="006521BF">
        <w:t>poziom krajów</w:t>
      </w:r>
      <w:r w:rsidR="00CA47C9">
        <w:t xml:space="preserve"> UE-15 (</w:t>
      </w:r>
      <w:r w:rsidR="006521BF">
        <w:t>liczba</w:t>
      </w:r>
      <w:r w:rsidR="00CA47C9">
        <w:t xml:space="preserve"> Polek wzrosłaby o 553 tysiące),</w:t>
      </w:r>
      <w:r w:rsidR="006521BF">
        <w:t xml:space="preserve"> Polska gospodarka </w:t>
      </w:r>
      <w:r w:rsidR="00CA47C9">
        <w:t xml:space="preserve">mogłaby zyskać nawet 180,7 mld zł do 2025 roku. </w:t>
      </w:r>
    </w:p>
    <w:p w14:paraId="7230A8AF" w14:textId="77777777" w:rsidR="00F95289" w:rsidRPr="00F95289" w:rsidRDefault="00F95289" w:rsidP="000E700E">
      <w:pPr>
        <w:jc w:val="both"/>
        <w:rPr>
          <w:b/>
        </w:rPr>
      </w:pPr>
      <w:r>
        <w:rPr>
          <w:b/>
        </w:rPr>
        <w:t>Kluczowe czynniki decydujące o aktywności kobiet na rynku pracy</w:t>
      </w:r>
    </w:p>
    <w:p w14:paraId="4FC42467" w14:textId="77777777" w:rsidR="00CA17AB" w:rsidRDefault="00625C01" w:rsidP="000E700E">
      <w:pPr>
        <w:jc w:val="both"/>
      </w:pPr>
      <w:r>
        <w:t>W raporcie</w:t>
      </w:r>
      <w:r w:rsidR="00724788">
        <w:t xml:space="preserve"> eksperci Deloitte wskazali czynniki, które najbardziej</w:t>
      </w:r>
      <w:r w:rsidR="00CA47C9">
        <w:t xml:space="preserve"> wpływają na wielkość odsetka</w:t>
      </w:r>
      <w:r w:rsidR="00724788">
        <w:t xml:space="preserve"> kobiet pracujących i szukających pracy. </w:t>
      </w:r>
    </w:p>
    <w:p w14:paraId="32B573BD" w14:textId="77777777" w:rsidR="00724788" w:rsidRDefault="00724788" w:rsidP="000E700E">
      <w:pPr>
        <w:jc w:val="both"/>
      </w:pPr>
      <w:r>
        <w:t xml:space="preserve">Pierwszym z nich jest </w:t>
      </w:r>
      <w:r w:rsidR="00F95289">
        <w:t xml:space="preserve">wykształcenie. Wyedukowane kobiety są bardziej aktywne zawodowo. </w:t>
      </w:r>
      <w:r w:rsidR="00CA47C9">
        <w:br/>
      </w:r>
      <w:r w:rsidR="001776E4">
        <w:t xml:space="preserve">W grupie </w:t>
      </w:r>
      <w:r w:rsidR="00F95289">
        <w:t xml:space="preserve">Polek z wykształceniem gimnazjalnym, podstawowym i niepełnym podstawowym </w:t>
      </w:r>
      <w:r w:rsidR="001776E4">
        <w:t>pracuje jedynie</w:t>
      </w:r>
      <w:r w:rsidR="00F95289">
        <w:t xml:space="preserve"> 11%</w:t>
      </w:r>
      <w:r w:rsidR="001776E4">
        <w:t>, wśród posiadaczek wykształcenia wyższego – aż 78,3%. Taka różnica jest</w:t>
      </w:r>
      <w:r w:rsidR="00BF78DB">
        <w:t xml:space="preserve"> związana</w:t>
      </w:r>
      <w:r w:rsidR="00CA47C9">
        <w:br/>
      </w:r>
      <w:r w:rsidR="00F95289">
        <w:t>z faktem, że poziom wykształcenia pozytywnie wpływa na uzyskiwane dochody. Co ciekawe, wskaźnik zatrudnienia kobiet wzrasta wraz z poziomem wykształcenia również w przypadku kobiet samotnie wychowujących dzieci.</w:t>
      </w:r>
    </w:p>
    <w:p w14:paraId="7625D7D9" w14:textId="77777777" w:rsidR="00F95289" w:rsidRDefault="00F95289" w:rsidP="000E700E">
      <w:pPr>
        <w:jc w:val="both"/>
      </w:pPr>
      <w:r>
        <w:t xml:space="preserve">Drugi element warunkujący aktywność zawodową Polek stanowi liczba dzieci w rodzinie (im </w:t>
      </w:r>
      <w:r w:rsidR="00BF78DB">
        <w:t xml:space="preserve">jest ona </w:t>
      </w:r>
      <w:r>
        <w:t>wyższa, tym niższa ak</w:t>
      </w:r>
      <w:r w:rsidR="001776E4">
        <w:t>tywność). To sytuacja całkowicie uzasadniona, szczególnie</w:t>
      </w:r>
      <w:r w:rsidR="00625C01">
        <w:t>,</w:t>
      </w:r>
      <w:r w:rsidR="001776E4">
        <w:t xml:space="preserve"> że łączna liczba godz</w:t>
      </w:r>
      <w:r w:rsidR="00BF78DB">
        <w:t>in pracy nie ulega zmniejszeniu. N</w:t>
      </w:r>
      <w:r w:rsidR="001776E4">
        <w:t xml:space="preserve">astępuje jednak przesunięcie ciężaru z pracy wycenianej rynkowo na pracę wykonywaną bezpłatnie, polegającą na opiece nad dziećmi. Różnica pomiędzy aktywnością w przypadku posiadania trójki i więcej dzieci oraz jednego dziecka wynosi ok 20%. </w:t>
      </w:r>
    </w:p>
    <w:p w14:paraId="24D696E5" w14:textId="77777777" w:rsidR="001776E4" w:rsidRDefault="001776E4" w:rsidP="000E700E">
      <w:pPr>
        <w:jc w:val="both"/>
      </w:pPr>
      <w:r>
        <w:t xml:space="preserve">Na motywację Polek zdecydowanie wpływa także wysokość wynagrodzeń w relacji do płacy mężczyzn. Panowie mogą liczyć na </w:t>
      </w:r>
      <w:r w:rsidR="00BF78DB">
        <w:t>wyższe zarobki</w:t>
      </w:r>
      <w:r>
        <w:t xml:space="preserve"> w większości branż. Największa luka płacowa występuje w działalności finansowej i ubezpieczeniowej (36,7%). </w:t>
      </w:r>
      <w:r w:rsidR="00BF78DB">
        <w:t>Natomiast k</w:t>
      </w:r>
      <w:r>
        <w:t xml:space="preserve">obiety zarabiają więcej </w:t>
      </w:r>
      <w:r w:rsidR="00B95984">
        <w:t>jako</w:t>
      </w:r>
      <w:r>
        <w:t xml:space="preserve"> </w:t>
      </w:r>
      <w:r w:rsidR="00ED5D69">
        <w:t>asystent</w:t>
      </w:r>
      <w:r w:rsidR="00B95984">
        <w:t>ka</w:t>
      </w:r>
      <w:r w:rsidR="003154C7">
        <w:t xml:space="preserve"> biurowa</w:t>
      </w:r>
      <w:r w:rsidR="00ED5D69">
        <w:t xml:space="preserve"> czy</w:t>
      </w:r>
      <w:r w:rsidR="00B95984">
        <w:t xml:space="preserve"> księgowa. </w:t>
      </w:r>
    </w:p>
    <w:p w14:paraId="57679ACB" w14:textId="77777777" w:rsidR="00ED5D69" w:rsidRDefault="001776E4" w:rsidP="000E700E">
      <w:pPr>
        <w:jc w:val="both"/>
      </w:pPr>
      <w:r>
        <w:lastRenderedPageBreak/>
        <w:t>Kolejne wyzwanie stanowi dla kobiet podejście do przedsi</w:t>
      </w:r>
      <w:r w:rsidR="00ED5D69">
        <w:t>ębiorczości. Mimo chęci i motywacji, kobiety mają problem z założeniem i prowadzeniem biznesu przede wszystkim przez brak odpowiednich funduszy (58%), procedury administracyjne (</w:t>
      </w:r>
      <w:r w:rsidR="006521BF">
        <w:t xml:space="preserve">32%) </w:t>
      </w:r>
      <w:r w:rsidR="00ED5D69">
        <w:t xml:space="preserve">oraz strach przed porażką (24%). </w:t>
      </w:r>
      <w:r w:rsidR="00ED5D69">
        <w:br/>
      </w:r>
    </w:p>
    <w:p w14:paraId="3CAA4227" w14:textId="77777777" w:rsidR="00ED5D69" w:rsidRDefault="00ED5D69" w:rsidP="000E700E">
      <w:pPr>
        <w:jc w:val="both"/>
        <w:rPr>
          <w:b/>
        </w:rPr>
      </w:pPr>
      <w:r w:rsidRPr="00ED5D69">
        <w:rPr>
          <w:b/>
        </w:rPr>
        <w:t>Polityki wspierające łączenie życia osobistego i zawodowego</w:t>
      </w:r>
      <w:r w:rsidR="006521BF">
        <w:rPr>
          <w:b/>
        </w:rPr>
        <w:t xml:space="preserve"> – przykłady best practice </w:t>
      </w:r>
    </w:p>
    <w:p w14:paraId="6AB894ED" w14:textId="77777777" w:rsidR="00ED5D69" w:rsidRDefault="00ED5D69" w:rsidP="000E700E">
      <w:pPr>
        <w:jc w:val="both"/>
      </w:pPr>
      <w:r>
        <w:t xml:space="preserve">Oprócz dogłębnej analizy rynku, raport Deloitte i Coca-Cola zawiera przykłady metod i polityk stosowanych w dwóch krajach notujących </w:t>
      </w:r>
      <w:r w:rsidR="00B95984">
        <w:t>jedne z najwyższych aktywności zawodowych</w:t>
      </w:r>
      <w:r>
        <w:t xml:space="preserve"> kobiet </w:t>
      </w:r>
      <w:r w:rsidR="00625C01">
        <w:t xml:space="preserve">w Europie </w:t>
      </w:r>
      <w:r>
        <w:t xml:space="preserve">– Szwecji (83,5%) oraz Norwegii (76,2%). </w:t>
      </w:r>
    </w:p>
    <w:p w14:paraId="4636423B" w14:textId="77777777" w:rsidR="00ED5D69" w:rsidRDefault="00ED5D69" w:rsidP="000E700E">
      <w:pPr>
        <w:jc w:val="both"/>
      </w:pPr>
      <w:r>
        <w:t xml:space="preserve">Wśród działań, które prawdopodobnie w </w:t>
      </w:r>
      <w:r w:rsidR="006521BF">
        <w:t xml:space="preserve">dużej mierze przyczyniły się do osiągnięcia takich rezultatów eksperci wskazali </w:t>
      </w:r>
      <w:r w:rsidR="00625C01">
        <w:t>te, które wspierają kobiety zarówno jako matki</w:t>
      </w:r>
      <w:r w:rsidR="00152322">
        <w:t>,</w:t>
      </w:r>
      <w:r w:rsidR="00625C01">
        <w:t xml:space="preserve"> jak i pracowników. Są to </w:t>
      </w:r>
      <w:r w:rsidR="006521BF">
        <w:t>m.in.: opiek</w:t>
      </w:r>
      <w:r w:rsidR="00625C01">
        <w:t>a</w:t>
      </w:r>
      <w:r w:rsidR="006521BF">
        <w:t xml:space="preserve"> prenataln</w:t>
      </w:r>
      <w:r w:rsidR="00625C01">
        <w:t>a</w:t>
      </w:r>
      <w:r w:rsidR="006521BF">
        <w:t xml:space="preserve"> dla kobiet w ciąży, darmowe i subsydiowane kursy pomagające przygotować się do porodu, sesje coachingowe, grupy wsparcia, prawo do skrócenia czasu pracy o 25% do 8. roku życia dziecka, bezpłatna edukacja czy darmowe lunche dla dzieci w wieku od 6 do 19 lat, możliwość pracy w niepełnym wymiarze do ukończenia 12. </w:t>
      </w:r>
      <w:r w:rsidR="00BF78DB">
        <w:t>r</w:t>
      </w:r>
      <w:r w:rsidR="006521BF">
        <w:t>oku życia przez dziecko czy prawo do 480 dni płatnego</w:t>
      </w:r>
      <w:r w:rsidR="00BF78DB">
        <w:t xml:space="preserve"> urlopu do wykorzystania do 8. r</w:t>
      </w:r>
      <w:r w:rsidR="006521BF">
        <w:t>oku życia dziecka dla obojga rodziców.</w:t>
      </w:r>
    </w:p>
    <w:p w14:paraId="2FC6CEA4" w14:textId="77777777" w:rsidR="000E700E" w:rsidRDefault="000E700E" w:rsidP="000E700E">
      <w:pPr>
        <w:pBdr>
          <w:bottom w:val="single" w:sz="6" w:space="1" w:color="auto"/>
        </w:pBdr>
        <w:jc w:val="both"/>
      </w:pPr>
    </w:p>
    <w:p w14:paraId="7D98F980" w14:textId="77777777" w:rsidR="000E700E" w:rsidRDefault="000E700E" w:rsidP="000E700E">
      <w:pPr>
        <w:jc w:val="both"/>
      </w:pPr>
    </w:p>
    <w:p w14:paraId="04B5067E" w14:textId="77777777" w:rsidR="000E700E" w:rsidRDefault="000E700E" w:rsidP="000E700E">
      <w:pPr>
        <w:jc w:val="both"/>
      </w:pPr>
    </w:p>
    <w:p w14:paraId="66EE6DED" w14:textId="77777777" w:rsidR="000E700E" w:rsidRPr="002A2B10" w:rsidRDefault="000E700E" w:rsidP="000E700E">
      <w:pPr>
        <w:pStyle w:val="NoSpacing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0F94464" wp14:editId="75C16453">
            <wp:extent cx="2543175" cy="58785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-sukcespisanyszminka-basi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843" cy="58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F9EF" w14:textId="77777777" w:rsidR="000E700E" w:rsidRPr="002A2B10" w:rsidRDefault="000E700E" w:rsidP="000E700E">
      <w:pPr>
        <w:pStyle w:val="NoSpacing"/>
        <w:jc w:val="both"/>
        <w:rPr>
          <w:b/>
        </w:rPr>
      </w:pPr>
    </w:p>
    <w:p w14:paraId="54B021AF" w14:textId="77777777" w:rsidR="000E700E" w:rsidRPr="00557E73" w:rsidRDefault="000E700E" w:rsidP="000E700E">
      <w:pPr>
        <w:pStyle w:val="NoSpacing"/>
        <w:jc w:val="both"/>
        <w:rPr>
          <w:sz w:val="21"/>
          <w:szCs w:val="21"/>
        </w:rPr>
      </w:pPr>
      <w:r>
        <w:rPr>
          <w:b/>
          <w:sz w:val="21"/>
          <w:szCs w:val="21"/>
        </w:rPr>
        <w:t>Sukces Pisany Szminką</w:t>
      </w:r>
      <w:r>
        <w:rPr>
          <w:sz w:val="21"/>
          <w:szCs w:val="21"/>
        </w:rPr>
        <w:t xml:space="preserve"> jest pierwszą w Polsce organizacją, która kompleksowo wspiera i promuje działania kobiet w  obszarach nauki, kultury i biznesu. Została utworzona w 2008  roku z inicjatywy Olgi Kozierowskiej. Misją Sukces Pisanego Szminką jest inspirowanie kobiet do podejmowania odważnych działań, spełniania marzeń, nagłaśnianie ich sukcesów w mediach oraz dostarczanie fachowej wiedzy, niezbędnej do rozwoju osobistego i zawodowego. Więcej informacji znajduje się na stronie: </w:t>
      </w:r>
      <w:hyperlink r:id="rId6">
        <w:r>
          <w:rPr>
            <w:rStyle w:val="czeinternetowe"/>
            <w:sz w:val="21"/>
            <w:szCs w:val="21"/>
          </w:rPr>
          <w:t>www.sukcespisanyszminka.pl</w:t>
        </w:r>
      </w:hyperlink>
    </w:p>
    <w:p w14:paraId="04092AF1" w14:textId="77777777" w:rsidR="000E700E" w:rsidRDefault="000E700E" w:rsidP="000E700E">
      <w:pPr>
        <w:pStyle w:val="NoSpacing"/>
        <w:jc w:val="both"/>
        <w:rPr>
          <w:rFonts w:cs="HelveticaNeue-MediumItalic"/>
          <w:iCs/>
          <w:sz w:val="21"/>
          <w:szCs w:val="21"/>
        </w:rPr>
      </w:pPr>
    </w:p>
    <w:p w14:paraId="6EC11665" w14:textId="77777777" w:rsidR="000E700E" w:rsidRPr="00557E73" w:rsidRDefault="000E700E" w:rsidP="000E700E">
      <w:pPr>
        <w:pStyle w:val="NoSpacing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1732C69B" wp14:editId="11F9F078">
            <wp:extent cx="1562100" cy="62642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274" cy="63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1F66" w14:textId="77777777" w:rsidR="000E700E" w:rsidRDefault="000E700E" w:rsidP="000E700E">
      <w:pPr>
        <w:jc w:val="both"/>
        <w:rPr>
          <w:b/>
          <w:bCs/>
          <w:sz w:val="21"/>
          <w:szCs w:val="21"/>
        </w:rPr>
      </w:pPr>
    </w:p>
    <w:p w14:paraId="0E124587" w14:textId="77777777" w:rsidR="000E700E" w:rsidRDefault="000E700E" w:rsidP="000E700E">
      <w:pPr>
        <w:ind w:right="86"/>
        <w:jc w:val="both"/>
        <w:rPr>
          <w:sz w:val="21"/>
          <w:szCs w:val="21"/>
        </w:rPr>
      </w:pPr>
      <w:r w:rsidRPr="002A2B10">
        <w:rPr>
          <w:b/>
          <w:sz w:val="21"/>
          <w:szCs w:val="21"/>
        </w:rPr>
        <w:t>Coca-Cola Poland Services</w:t>
      </w:r>
      <w:r w:rsidRPr="00557E73">
        <w:rPr>
          <w:sz w:val="21"/>
          <w:szCs w:val="21"/>
        </w:rPr>
        <w:t xml:space="preserve"> to spółka-córka The Coca-Cola Company, właściciela wiodących marek napojów bezalkoholowych, obecnych w ponad 200 krajach świata.  Wśród marek firm dostępnych na naszym rynku znajdują się: Coca-Cola, Coca-Cola Zero, Coca-Cola Cherry, Fanta, Sprite, Kinley Tonic, napój izotoniczny Powerade, soki, nektary i napoje owocowe Cappy, wody mineralne Kropla Beskidu, Kropla Delice, napoje Kropla oraz herbaty mrożone Nestea. Firmy z systemu Coca-Cola są liderem na polskim rynku napojów bezalkoholowych i zatrudniają 2700 osób. Od 1991 r. firmy te zainwestowały w Polsce ponad 500 milionów dolarów. Coca-Cola prowadzi szerokie działania w obszarze zaangażowania społecznego, m.in. na rzecz ochrony zasobów wodnych, wspierania młodych oraz aktywizacji zawodowej kobiet. Globalnie firma prowadzi program 5by20 mający na celu aktywizowanie zawodowo 5 mln kobiet na całym świecie do roku 2020, którego polską edycję uruchomiono w 2016 r. </w:t>
      </w:r>
    </w:p>
    <w:p w14:paraId="6E020BBB" w14:textId="77777777" w:rsidR="000E700E" w:rsidRPr="00557E73" w:rsidRDefault="000E700E" w:rsidP="000E700E">
      <w:pPr>
        <w:ind w:right="86"/>
        <w:jc w:val="both"/>
        <w:rPr>
          <w:sz w:val="21"/>
          <w:szCs w:val="21"/>
        </w:rPr>
      </w:pPr>
    </w:p>
    <w:p w14:paraId="5F88F968" w14:textId="77777777" w:rsidR="000E700E" w:rsidRDefault="000E700E" w:rsidP="000E700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C8ADBFF" wp14:editId="3626AC84">
            <wp:extent cx="1295400" cy="506294"/>
            <wp:effectExtent l="0" t="0" r="0" b="8255"/>
            <wp:docPr id="7" name="Picture 7" descr="Deloitte po 15 latach odświeża swoją identyfikację wizualną, logo w nowym kol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oitte po 15 latach odświeża swoją identyfikację wizualną, logo w nowym kolorz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93" cy="5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05BE" w14:textId="7042BADE" w:rsidR="000E700E" w:rsidRDefault="000E700E" w:rsidP="000E700E">
      <w:pPr>
        <w:jc w:val="both"/>
      </w:pPr>
      <w:r>
        <w:t>Deloitte świadczy usługi audytorskie, konsultingowe, doradztwa podatkowego i finansowego klientom z sektora publicznego praz prywatnego działających w różnych branżach. Dzięki globalnej sieci firm członkowskich obejmującej 150 krajów oferujemy najwyższej klasy umiejętności, doświadczenie i wiedzę w połączeniu ze znajomością lokalnego rynku. Pomagamy klientom odnieść sukces niezależnie od miejsca i branży, w jakiej działają. Ponad 225 000 pracowników Deloitte na świecie realizuje misję firmy: wywierać pozytywny wpływ na środowisko i otoczenie, w którym żyją i pracują.</w:t>
      </w:r>
    </w:p>
    <w:p w14:paraId="1B4A0046" w14:textId="77777777" w:rsidR="000E700E" w:rsidRPr="00DF2353" w:rsidRDefault="000E700E" w:rsidP="000E700E">
      <w:pPr>
        <w:jc w:val="both"/>
        <w:rPr>
          <w:b/>
        </w:rPr>
      </w:pPr>
    </w:p>
    <w:p w14:paraId="17FFA931" w14:textId="45092DBC" w:rsidR="00CA47C9" w:rsidRPr="00ED5D69" w:rsidRDefault="00CA47C9" w:rsidP="000E700E">
      <w:pPr>
        <w:jc w:val="both"/>
      </w:pPr>
    </w:p>
    <w:p w14:paraId="460A6CAE" w14:textId="77777777" w:rsidR="001776E4" w:rsidRDefault="001776E4" w:rsidP="000E700E">
      <w:pPr>
        <w:jc w:val="both"/>
      </w:pPr>
    </w:p>
    <w:sectPr w:rsidR="001776E4" w:rsidSect="000E700E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Medium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D0"/>
    <w:rsid w:val="00092A0F"/>
    <w:rsid w:val="000E700E"/>
    <w:rsid w:val="00152322"/>
    <w:rsid w:val="001776E4"/>
    <w:rsid w:val="003154C7"/>
    <w:rsid w:val="006073EF"/>
    <w:rsid w:val="00625C01"/>
    <w:rsid w:val="006521BF"/>
    <w:rsid w:val="00724788"/>
    <w:rsid w:val="007C1128"/>
    <w:rsid w:val="008E1324"/>
    <w:rsid w:val="00B43B7A"/>
    <w:rsid w:val="00B95984"/>
    <w:rsid w:val="00BD574B"/>
    <w:rsid w:val="00BF78DB"/>
    <w:rsid w:val="00C51BD0"/>
    <w:rsid w:val="00CA17AB"/>
    <w:rsid w:val="00CA47C9"/>
    <w:rsid w:val="00E324A3"/>
    <w:rsid w:val="00ED5D69"/>
    <w:rsid w:val="00F55E37"/>
    <w:rsid w:val="00F9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F7F3A"/>
  <w15:chartTrackingRefBased/>
  <w15:docId w15:val="{89C3C9CB-EF90-41C9-97A1-45A71E4B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4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7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7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7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7C9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basedOn w:val="DefaultParagraphFont"/>
    <w:uiPriority w:val="99"/>
    <w:unhideWhenUsed/>
    <w:rsid w:val="000E700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E700E"/>
    <w:pPr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ukcespisanyszminka.pl/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F66E31-1E6D-43A1-A046-9B99597B4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903</Words>
  <Characters>5696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Touche Tohmatsu Services, Inc.</Company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Puczynska, Anna (PL - Warsaw)</dc:creator>
  <cp:keywords/>
  <dc:description/>
  <cp:lastModifiedBy>Anna Solarek</cp:lastModifiedBy>
  <cp:revision>3</cp:revision>
  <dcterms:created xsi:type="dcterms:W3CDTF">2017-02-02T08:21:00Z</dcterms:created>
  <dcterms:modified xsi:type="dcterms:W3CDTF">2017-03-14T12:41:00Z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TIntVersion">
    <vt:i4>15</vt:i4>
  </property>
  <property fmtid="{D5CDD505-2E9C-101B-9397-08002B2CF9AE}" pid="3" name="FILEGUID">
    <vt:lpwstr>71b5bd3a-dd41-40fb-b528-ca6127bd393e</vt:lpwstr>
  </property>
  <property fmtid="{D5CDD505-2E9C-101B-9397-08002B2CF9AE}" pid="4" name="MODFILEGUID">
    <vt:lpwstr>48479bd9-0a35-485d-9d05-014e0162c1c9</vt:lpwstr>
  </property>
  <property fmtid="{D5CDD505-2E9C-101B-9397-08002B2CF9AE}" pid="5" name="FILEOWNER">
    <vt:lpwstr>Puczynska, Anna (PL - Warsaw)</vt:lpwstr>
  </property>
  <property fmtid="{D5CDD505-2E9C-101B-9397-08002B2CF9AE}" pid="6" name="MODFILEOWNER">
    <vt:lpwstr>G63588</vt:lpwstr>
  </property>
  <property fmtid="{D5CDD505-2E9C-101B-9397-08002B2CF9AE}" pid="7" name="IPPCLASS">
    <vt:i4>1</vt:i4>
  </property>
  <property fmtid="{D5CDD505-2E9C-101B-9397-08002B2CF9AE}" pid="8" name="MODIPPCLASS">
    <vt:i4>1</vt:i4>
  </property>
  <property fmtid="{D5CDD505-2E9C-101B-9397-08002B2CF9AE}" pid="9" name="MACHINEID">
    <vt:lpwstr>G63588-1001</vt:lpwstr>
  </property>
  <property fmtid="{D5CDD505-2E9C-101B-9397-08002B2CF9AE}" pid="10" name="MODMACHINEID">
    <vt:lpwstr>G63588-1001</vt:lpwstr>
  </property>
  <property fmtid="{D5CDD505-2E9C-101B-9397-08002B2CF9AE}" pid="11" name="CURRENTCLASS">
    <vt:lpwstr>Classified - No Category</vt:lpwstr>
  </property>
</Properties>
</file>