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704637066"/>
        <w:docPartObj>
          <w:docPartGallery w:val="Cover Pages"/>
          <w:docPartUnique/>
        </w:docPartObj>
      </w:sdtPr>
      <w:sdtEndPr>
        <w:rPr>
          <w:u w:val="single"/>
        </w:rPr>
      </w:sdtEndPr>
      <w:sdtContent>
        <w:p w14:paraId="44D0DE7A" w14:textId="77777777" w:rsidR="00533676" w:rsidRDefault="00533676" w:rsidP="00B46401">
          <w:pPr>
            <w:spacing w:line="276" w:lineRule="auto"/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E642B46" wp14:editId="23DCF65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12700" b="136525"/>
                    <wp:wrapNone/>
                    <wp:docPr id="119" name="Grupa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Prostokąt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Prostokąt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D3F656" w14:textId="77777777" w:rsidR="00533676" w:rsidRPr="00D91498" w:rsidRDefault="00A26722">
                                  <w:pPr>
                                    <w:pStyle w:val="Bezodstpw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pl-PL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alias w:val="Autor"/>
                                      <w:tag w:val=""/>
                                      <w:id w:val="88414185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533676"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  <w:lang w:val="pl-PL"/>
                                        </w:rPr>
                                        <w:t>Anna Banaszewska</w:t>
                                      </w:r>
                                    </w:sdtContent>
                                  </w:sdt>
                                </w:p>
                                <w:p w14:paraId="5C9DF730" w14:textId="77777777" w:rsidR="00533676" w:rsidRPr="00D91498" w:rsidRDefault="00A26722">
                                  <w:pPr>
                                    <w:pStyle w:val="Bezodstpw"/>
                                    <w:rPr>
                                      <w:caps/>
                                      <w:color w:val="FFFFFF" w:themeColor="background1"/>
                                      <w:lang w:val="pl-PL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lang w:val="pl-PL"/>
                                      </w:rPr>
                                      <w:alias w:val="Firma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7452DB" w:rsidRPr="00D91498">
                                        <w:rPr>
                                          <w:caps/>
                                          <w:color w:val="FFFFFF" w:themeColor="background1"/>
                                          <w:lang w:val="pl-PL"/>
                                        </w:rPr>
                                        <w:t>Fundacja centrum inicjatyw. gospodarka i zdrowie</w:t>
                                      </w:r>
                                    </w:sdtContent>
                                  </w:sdt>
                                  <w:r w:rsidR="00533676" w:rsidRPr="00D91498">
                                    <w:rPr>
                                      <w:caps/>
                                      <w:color w:val="FFFFFF" w:themeColor="background1"/>
                                      <w:lang w:val="pl-PL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lang w:val="pl-PL"/>
                                      </w:rPr>
                                      <w:alias w:val="Adres"/>
                                      <w:tag w:val=""/>
                                      <w:id w:val="2113163453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7452DB" w:rsidRPr="00D91498">
                                        <w:rPr>
                                          <w:caps/>
                                          <w:color w:val="FFFFFF" w:themeColor="background1"/>
                                          <w:lang w:val="pl-PL"/>
                                        </w:rPr>
                                        <w:t>a.banaszewska@aimkancelaria.pl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Pole tekstowe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  <w:lang w:val="pl-PL"/>
                                    </w:rPr>
                                    <w:alias w:val="Tytuł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FE12FBD" w14:textId="77777777" w:rsidR="00533676" w:rsidRPr="00D91498" w:rsidRDefault="00533676">
                                      <w:pPr>
                                        <w:pStyle w:val="Bezodstpw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  <w:lang w:val="pl-PL"/>
                                        </w:rPr>
                                      </w:pPr>
                                      <w:r w:rsidRPr="00D91498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  <w:lang w:val="pl-PL"/>
                                        </w:rPr>
                                        <w:t>Pacjent i jego prawa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  <w:lang w:val="pl-PL"/>
                                    </w:rPr>
                                    <w:alias w:val="Podtytuł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CF119E2" w14:textId="77777777" w:rsidR="00533676" w:rsidRPr="00D91498" w:rsidRDefault="00533676">
                                      <w:pPr>
                                        <w:pStyle w:val="Bezodstpw"/>
                                        <w:spacing w:before="240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  <w:lang w:val="pl-PL"/>
                                        </w:rPr>
                                      </w:pPr>
                                      <w:r w:rsidRPr="00D91498"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  <w:lang w:val="pl-PL"/>
                                        </w:rPr>
                                        <w:t xml:space="preserve">Europejski dzień pacjenta, </w:t>
                                      </w:r>
                                      <w:r w:rsidR="007452DB" w:rsidRPr="00D91498"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  <w:lang w:val="pl-PL"/>
                                        </w:rPr>
                                        <w:t>materiał dla dziennikarzy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5="http://schemas.microsoft.com/office/word/2012/wordml" xmlns:mv="urn:schemas-microsoft-com:mac:vml" xmlns:mo="http://schemas.microsoft.com/office/mac/office/2008/main">
                <w:pict>
                  <v:group w14:anchorId="3E642B46" id="Grupa_x0020_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00,9271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">
                    <v:rect id="Prostok_x0105_t_x0020_120" o:spid="_x0000_s1027" style="position:absolute;top:7315200;width:6858000;height:14318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Kl5RxgAA&#10;ANwAAAAPAAAAZHJzL2Rvd25yZXYueG1sRI9Ba8JAEIXvBf/DMkJvdaNCK6mriCCUIoVGPfQ2ZMds&#10;NDsbstsY++s7h0JvM7w3732zXA++UT11sQ5sYDrJQBGXwdZcGTgedk8LUDEhW2wCk4E7RVivRg9L&#10;zG248Sf1RaqUhHDM0YBLqc21jqUjj3ESWmLRzqHzmGTtKm07vEm4b/Qsy561x5qlwWFLW0fltfj2&#10;Bt4vL/PC9Zv+Z/5BJxdO+6/dNhrzOB42r6ASDenf/Hf9ZgV/JvjyjEy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Kl5RxgAAANwAAAAPAAAAAAAAAAAAAAAAAJcCAABkcnMv&#10;ZG93bnJldi54bWxQSwUGAAAAAAQABAD1AAAAigMAAAAA&#10;" fillcolor="#5b9bd5 [3204]" stroked="f" strokeweight="1pt"/>
                    <v:rect id="Prostok_x0105_t_x0020_121" o:spid="_x0000_s1028" style="position:absolute;top:7439025;width:6858000;height:1832725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MjDSwQAA&#10;ANwAAAAPAAAAZHJzL2Rvd25yZXYueG1sRE9Li8IwEL4v+B/CCF4WTfXgSjWKCoplWfB5H5qxLW0m&#10;pYla//1GELzNx/ec2aI1lbhT4wrLCoaDCARxanXBmYLzadOfgHAeWWNlmRQ8ycFi3vmaYaztgw90&#10;P/pMhBB2MSrIva9jKV2ak0E3sDVx4K62MegDbDKpG3yEcFPJURSNpcGCQ0OONa1zSsvjzSjY/a7S&#10;4qc68L7clttLkkySv2+nVK/bLqcgPLX+I367dzrMHw3h9Uy4QM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DIw0sEAAADcAAAADwAAAAAAAAAAAAAAAACXAgAAZHJzL2Rvd25y&#10;ZXYueG1sUEsFBgAAAAAEAAQA9QAAAIUDAAAAAA==&#10;" fillcolor="#ed7d31 [3205]" stroked="f" strokeweight="1pt">
                      <v:textbox inset="36pt,14.4pt,36pt,36pt">
                        <w:txbxContent>
                          <w:p w14:paraId="16D3F656" w14:textId="77777777" w:rsidR="00533676" w:rsidRDefault="00121810">
                            <w:pPr>
                              <w:pStyle w:val="Bezodstpw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alias w:val="Autor"/>
                                <w:tag w:val=""/>
                                <w:id w:val="88414185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33676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pl-PL"/>
                                  </w:rPr>
                                  <w:t>Anna Banaszewska</w:t>
                                </w:r>
                              </w:sdtContent>
                            </w:sdt>
                          </w:p>
                          <w:p w14:paraId="5C9DF730" w14:textId="77777777" w:rsidR="00533676" w:rsidRDefault="00121810">
                            <w:pPr>
                              <w:pStyle w:val="Bezodstpw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Firma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452DB">
                                  <w:rPr>
                                    <w:caps/>
                                    <w:color w:val="FFFFFF" w:themeColor="background1"/>
                                  </w:rPr>
                                  <w:t>Fundacja centrum inicjatyw. gospodarka i zdrowie</w:t>
                                </w:r>
                              </w:sdtContent>
                            </w:sdt>
                            <w:r w:rsidR="00533676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res"/>
                                <w:tag w:val=""/>
                                <w:id w:val="2113163453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7452DB">
                                  <w:rPr>
                                    <w:caps/>
                                    <w:color w:val="FFFFFF" w:themeColor="background1"/>
                                  </w:rPr>
                                  <w:t>a.banaszewska@aimkancelaria.pl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Pole_x0020_tekstowe_x0020_122" o:spid="_x0000_s1029" type="#_x0000_t202" style="position:absolute;width:6858000;height:73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6hvlwgAA&#10;ANwAAAAPAAAAZHJzL2Rvd25yZXYueG1sRE9Na8JAEL0X+h+WKXirm4YiJbqKiEKhXjSiHsfsmA1m&#10;Z0N2NWl/vSsUvM3jfc5k1tta3Kj1lWMFH8MEBHHhdMWlgl2+ev8C4QOyxtoxKfglD7Pp68sEM+06&#10;3tBtG0oRQ9hnqMCE0GRS+sKQRT90DXHkzq61GCJsS6lb7GK4rWWaJCNpseLYYLChhaHisr1aBatD&#10;f+L872dnjsvlZ3c9FbzP10oN3vr5GESgPjzF/+5vHeenKTyeiRfI6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bqG+XCAAAA3AAAAA8AAAAAAAAAAAAAAAAAlwIAAGRycy9kb3du&#10;cmV2LnhtbFBLBQYAAAAABAAEAPUAAACGAwAAAAA=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ytuł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FE12FBD" w14:textId="77777777" w:rsidR="00533676" w:rsidRDefault="00533676">
                                <w:pPr>
                                  <w:pStyle w:val="Bezodstpw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Pacjent</w:t>
                                </w:r>
                                <w:proofErr w:type="spellEnd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 xml:space="preserve"> i </w:t>
                                </w: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jego</w:t>
                                </w:r>
                                <w:proofErr w:type="spellEnd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prawa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alias w:val="Podtytuł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4CF119E2" w14:textId="77777777" w:rsidR="00533676" w:rsidRDefault="00533676">
                                <w:pPr>
                                  <w:pStyle w:val="Bezodstpw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 xml:space="preserve">Europejski dzień pacjenta, </w:t>
                                </w:r>
                                <w:r w:rsidR="007452DB"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materiał dla dziennikarzy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1BF3D9D9" w14:textId="77777777" w:rsidR="00533676" w:rsidRDefault="00533676" w:rsidP="00B46401">
          <w:pPr>
            <w:spacing w:line="276" w:lineRule="auto"/>
            <w:rPr>
              <w:u w:val="single"/>
            </w:rPr>
          </w:pPr>
          <w:r>
            <w:rPr>
              <w:u w:val="single"/>
            </w:rPr>
            <w:br w:type="page"/>
          </w:r>
        </w:p>
      </w:sdtContent>
    </w:sdt>
    <w:p w14:paraId="74F90E6E" w14:textId="77777777" w:rsidR="004C5340" w:rsidRDefault="004C5340" w:rsidP="00B46401">
      <w:pPr>
        <w:spacing w:line="276" w:lineRule="auto"/>
        <w:rPr>
          <w:u w:val="single"/>
        </w:rPr>
      </w:pPr>
    </w:p>
    <w:p w14:paraId="11AB7F6F" w14:textId="77777777" w:rsidR="004C5340" w:rsidRDefault="004C5340" w:rsidP="00B46401">
      <w:pPr>
        <w:spacing w:line="276" w:lineRule="auto"/>
        <w:jc w:val="center"/>
        <w:rPr>
          <w:u w:val="single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773383582"/>
        <w:docPartObj>
          <w:docPartGallery w:val="Table of Contents"/>
          <w:docPartUnique/>
        </w:docPartObj>
      </w:sdtPr>
      <w:sdtEndPr>
        <w:rPr>
          <w:noProof/>
          <w:color w:val="2E74B5" w:themeColor="accent1" w:themeShade="BF"/>
        </w:rPr>
      </w:sdtEndPr>
      <w:sdtContent>
        <w:p w14:paraId="7B448755" w14:textId="77777777" w:rsidR="00CF4085" w:rsidRPr="008D20F5" w:rsidRDefault="00CF4085" w:rsidP="00B46401">
          <w:pPr>
            <w:pStyle w:val="Nagwekspisutreci"/>
            <w:rPr>
              <w:b w:val="0"/>
            </w:rPr>
          </w:pPr>
          <w:r w:rsidRPr="00BE3C01">
            <w:rPr>
              <w:b w:val="0"/>
            </w:rPr>
            <w:t>Spis treści</w:t>
          </w:r>
          <w:r w:rsidR="00BE3C01" w:rsidRPr="00BE3C01">
            <w:rPr>
              <w:b w:val="0"/>
            </w:rPr>
            <w:t>:</w:t>
          </w:r>
        </w:p>
        <w:p w14:paraId="465DB75E" w14:textId="77777777" w:rsidR="00D6525C" w:rsidRPr="00D6525C" w:rsidRDefault="00CF4085">
          <w:pPr>
            <w:pStyle w:val="Spistreci1"/>
            <w:tabs>
              <w:tab w:val="right" w:leader="dot" w:pos="9061"/>
            </w:tabs>
            <w:rPr>
              <w:rFonts w:eastAsiaTheme="minorEastAsia"/>
              <w:b w:val="0"/>
              <w:bCs w:val="0"/>
              <w:caps w:val="0"/>
              <w:noProof/>
              <w:color w:val="2E74B5" w:themeColor="accent1" w:themeShade="BF"/>
              <w:sz w:val="24"/>
              <w:szCs w:val="24"/>
              <w:lang w:eastAsia="pl-PL"/>
            </w:rPr>
          </w:pPr>
          <w:r w:rsidRPr="008D20F5">
            <w:rPr>
              <w:rFonts w:asciiTheme="majorHAnsi" w:hAnsiTheme="majorHAnsi"/>
              <w:b w:val="0"/>
              <w:bCs w:val="0"/>
              <w:caps w:val="0"/>
              <w:color w:val="2E74B5" w:themeColor="accent1" w:themeShade="BF"/>
            </w:rPr>
            <w:fldChar w:fldCharType="begin"/>
          </w:r>
          <w:r w:rsidRPr="008D20F5">
            <w:rPr>
              <w:rFonts w:asciiTheme="majorHAnsi" w:hAnsiTheme="majorHAnsi"/>
              <w:b w:val="0"/>
              <w:caps w:val="0"/>
              <w:color w:val="2E74B5" w:themeColor="accent1" w:themeShade="BF"/>
            </w:rPr>
            <w:instrText>TOC \o "1-3" \h \z \u</w:instrText>
          </w:r>
          <w:r w:rsidRPr="008D20F5">
            <w:rPr>
              <w:rFonts w:asciiTheme="majorHAnsi" w:hAnsiTheme="majorHAnsi"/>
              <w:b w:val="0"/>
              <w:bCs w:val="0"/>
              <w:caps w:val="0"/>
              <w:color w:val="2E74B5" w:themeColor="accent1" w:themeShade="BF"/>
            </w:rPr>
            <w:fldChar w:fldCharType="separate"/>
          </w:r>
          <w:hyperlink w:anchor="_Toc448419452" w:history="1">
            <w:r w:rsidR="00D6525C" w:rsidRPr="00D6525C">
              <w:rPr>
                <w:rStyle w:val="Hipercze"/>
                <w:b w:val="0"/>
                <w:caps w:val="0"/>
                <w:noProof/>
                <w:color w:val="2E74B5" w:themeColor="accent1" w:themeShade="BF"/>
              </w:rPr>
              <w:t>Wstęp.</w:t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tab/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fldChar w:fldCharType="begin"/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instrText xml:space="preserve"> PAGEREF _Toc448419452 \h </w:instrText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fldChar w:fldCharType="separate"/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t>2</w:t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14507063" w14:textId="77777777" w:rsidR="00D6525C" w:rsidRPr="00D6525C" w:rsidRDefault="00A26722">
          <w:pPr>
            <w:pStyle w:val="Spistreci1"/>
            <w:tabs>
              <w:tab w:val="right" w:leader="dot" w:pos="9061"/>
            </w:tabs>
            <w:rPr>
              <w:rFonts w:eastAsiaTheme="minorEastAsia"/>
              <w:b w:val="0"/>
              <w:bCs w:val="0"/>
              <w:caps w:val="0"/>
              <w:noProof/>
              <w:color w:val="2E74B5" w:themeColor="accent1" w:themeShade="BF"/>
              <w:sz w:val="24"/>
              <w:szCs w:val="24"/>
              <w:lang w:eastAsia="pl-PL"/>
            </w:rPr>
          </w:pPr>
          <w:hyperlink w:anchor="_Toc448419453" w:history="1">
            <w:r w:rsidR="00D6525C" w:rsidRPr="00D6525C">
              <w:rPr>
                <w:rStyle w:val="Hipercze"/>
                <w:b w:val="0"/>
                <w:caps w:val="0"/>
                <w:noProof/>
                <w:color w:val="2E74B5" w:themeColor="accent1" w:themeShade="BF"/>
              </w:rPr>
              <w:t>Prawa pacjenta w prawie Unii Europejskiej.</w:t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tab/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fldChar w:fldCharType="begin"/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instrText xml:space="preserve"> PAGEREF _Toc448419453 \h </w:instrText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fldChar w:fldCharType="separate"/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t>3</w:t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6CF43445" w14:textId="77777777" w:rsidR="00D6525C" w:rsidRPr="00D6525C" w:rsidRDefault="00A26722">
          <w:pPr>
            <w:pStyle w:val="Spistreci1"/>
            <w:tabs>
              <w:tab w:val="right" w:leader="dot" w:pos="9061"/>
            </w:tabs>
            <w:rPr>
              <w:rFonts w:eastAsiaTheme="minorEastAsia"/>
              <w:b w:val="0"/>
              <w:bCs w:val="0"/>
              <w:caps w:val="0"/>
              <w:noProof/>
              <w:color w:val="2E74B5" w:themeColor="accent1" w:themeShade="BF"/>
              <w:sz w:val="24"/>
              <w:szCs w:val="24"/>
              <w:lang w:eastAsia="pl-PL"/>
            </w:rPr>
          </w:pPr>
          <w:hyperlink w:anchor="_Toc448419454" w:history="1">
            <w:r w:rsidR="00D6525C" w:rsidRPr="00D6525C">
              <w:rPr>
                <w:rStyle w:val="Hipercze"/>
                <w:b w:val="0"/>
                <w:caps w:val="0"/>
                <w:noProof/>
                <w:color w:val="2E74B5" w:themeColor="accent1" w:themeShade="BF"/>
              </w:rPr>
              <w:t>Prawa pacjenta w prawie krajowym.</w:t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tab/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fldChar w:fldCharType="begin"/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instrText xml:space="preserve"> PAGEREF _Toc448419454 \h </w:instrText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fldChar w:fldCharType="separate"/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t>3</w:t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6F861EA5" w14:textId="77777777" w:rsidR="00D6525C" w:rsidRPr="00D6525C" w:rsidRDefault="00A26722">
          <w:pPr>
            <w:pStyle w:val="Spistreci1"/>
            <w:tabs>
              <w:tab w:val="right" w:leader="dot" w:pos="9061"/>
            </w:tabs>
            <w:rPr>
              <w:rFonts w:eastAsiaTheme="minorEastAsia"/>
              <w:b w:val="0"/>
              <w:bCs w:val="0"/>
              <w:caps w:val="0"/>
              <w:noProof/>
              <w:color w:val="2E74B5" w:themeColor="accent1" w:themeShade="BF"/>
              <w:sz w:val="24"/>
              <w:szCs w:val="24"/>
              <w:lang w:eastAsia="pl-PL"/>
            </w:rPr>
          </w:pPr>
          <w:hyperlink w:anchor="_Toc448419455" w:history="1">
            <w:r w:rsidR="00D6525C" w:rsidRPr="00D6525C">
              <w:rPr>
                <w:rStyle w:val="Hipercze"/>
                <w:b w:val="0"/>
                <w:caps w:val="0"/>
                <w:noProof/>
                <w:color w:val="2E74B5" w:themeColor="accent1" w:themeShade="BF"/>
              </w:rPr>
              <w:t>Prawo dostępu do świadczeń gwarantowanych.</w:t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tab/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fldChar w:fldCharType="begin"/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instrText xml:space="preserve"> PAGEREF _Toc448419455 \h </w:instrText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fldChar w:fldCharType="separate"/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t>5</w:t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07528938" w14:textId="77777777" w:rsidR="00D6525C" w:rsidRPr="00D6525C" w:rsidRDefault="00A26722">
          <w:pPr>
            <w:pStyle w:val="Spistreci1"/>
            <w:tabs>
              <w:tab w:val="right" w:leader="dot" w:pos="9061"/>
            </w:tabs>
            <w:rPr>
              <w:rFonts w:eastAsiaTheme="minorEastAsia"/>
              <w:b w:val="0"/>
              <w:bCs w:val="0"/>
              <w:caps w:val="0"/>
              <w:noProof/>
              <w:color w:val="2E74B5" w:themeColor="accent1" w:themeShade="BF"/>
              <w:sz w:val="24"/>
              <w:szCs w:val="24"/>
              <w:lang w:eastAsia="pl-PL"/>
            </w:rPr>
          </w:pPr>
          <w:hyperlink w:anchor="_Toc448419456" w:history="1">
            <w:r w:rsidR="00D6525C" w:rsidRPr="00D6525C">
              <w:rPr>
                <w:rStyle w:val="Hipercze"/>
                <w:b w:val="0"/>
                <w:caps w:val="0"/>
                <w:noProof/>
                <w:color w:val="2E74B5" w:themeColor="accent1" w:themeShade="BF"/>
              </w:rPr>
              <w:t>Lek jako świadczenie gwarantowane.</w:t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tab/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fldChar w:fldCharType="begin"/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instrText xml:space="preserve"> PAGEREF _Toc448419456 \h </w:instrText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fldChar w:fldCharType="separate"/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t>7</w:t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0466E4C4" w14:textId="77777777" w:rsidR="00D6525C" w:rsidRPr="00D6525C" w:rsidRDefault="00A26722">
          <w:pPr>
            <w:pStyle w:val="Spistreci1"/>
            <w:tabs>
              <w:tab w:val="right" w:leader="dot" w:pos="9061"/>
            </w:tabs>
            <w:rPr>
              <w:rFonts w:eastAsiaTheme="minorEastAsia"/>
              <w:b w:val="0"/>
              <w:bCs w:val="0"/>
              <w:caps w:val="0"/>
              <w:noProof/>
              <w:color w:val="2E74B5" w:themeColor="accent1" w:themeShade="BF"/>
              <w:sz w:val="24"/>
              <w:szCs w:val="24"/>
              <w:lang w:eastAsia="pl-PL"/>
            </w:rPr>
          </w:pPr>
          <w:hyperlink w:anchor="_Toc448419457" w:history="1">
            <w:r w:rsidR="00D6525C" w:rsidRPr="00D6525C">
              <w:rPr>
                <w:rStyle w:val="Hipercze"/>
                <w:b w:val="0"/>
                <w:caps w:val="0"/>
                <w:noProof/>
                <w:color w:val="2E74B5" w:themeColor="accent1" w:themeShade="BF"/>
              </w:rPr>
              <w:t>Prawo pacjenta do wyrażenia zgody na świadczenie opieki zdrowotnej lub sprzeciwu.</w:t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tab/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fldChar w:fldCharType="begin"/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instrText xml:space="preserve"> PAGEREF _Toc448419457 \h </w:instrText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fldChar w:fldCharType="separate"/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t>9</w:t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7A62E840" w14:textId="77777777" w:rsidR="00D6525C" w:rsidRPr="00D6525C" w:rsidRDefault="00A26722">
          <w:pPr>
            <w:pStyle w:val="Spistreci1"/>
            <w:tabs>
              <w:tab w:val="right" w:leader="dot" w:pos="9061"/>
            </w:tabs>
            <w:rPr>
              <w:rFonts w:eastAsiaTheme="minorEastAsia"/>
              <w:b w:val="0"/>
              <w:bCs w:val="0"/>
              <w:caps w:val="0"/>
              <w:noProof/>
              <w:color w:val="2E74B5" w:themeColor="accent1" w:themeShade="BF"/>
              <w:sz w:val="24"/>
              <w:szCs w:val="24"/>
              <w:lang w:eastAsia="pl-PL"/>
            </w:rPr>
          </w:pPr>
          <w:hyperlink w:anchor="_Toc448419458" w:history="1">
            <w:r w:rsidR="00D6525C" w:rsidRPr="00D6525C">
              <w:rPr>
                <w:rStyle w:val="Hipercze"/>
                <w:b w:val="0"/>
                <w:caps w:val="0"/>
                <w:noProof/>
                <w:color w:val="2E74B5" w:themeColor="accent1" w:themeShade="BF"/>
              </w:rPr>
              <w:t>Ochrona praw pacjenta.</w:t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tab/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fldChar w:fldCharType="begin"/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instrText xml:space="preserve"> PAGEREF _Toc448419458 \h </w:instrText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fldChar w:fldCharType="separate"/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t>11</w:t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3F74D02B" w14:textId="77777777" w:rsidR="00D6525C" w:rsidRDefault="00A26722">
          <w:pPr>
            <w:pStyle w:val="Spistreci1"/>
            <w:tabs>
              <w:tab w:val="right" w:leader="dot" w:pos="9061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lang w:eastAsia="pl-PL"/>
            </w:rPr>
          </w:pPr>
          <w:hyperlink w:anchor="_Toc448419459" w:history="1">
            <w:r w:rsidR="00D6525C" w:rsidRPr="00D6525C">
              <w:rPr>
                <w:rStyle w:val="Hipercze"/>
                <w:b w:val="0"/>
                <w:caps w:val="0"/>
                <w:noProof/>
                <w:color w:val="2E74B5" w:themeColor="accent1" w:themeShade="BF"/>
              </w:rPr>
              <w:t>Wnioski.</w:t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tab/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fldChar w:fldCharType="begin"/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instrText xml:space="preserve"> PAGEREF _Toc448419459 \h </w:instrText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fldChar w:fldCharType="separate"/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t>13</w:t>
            </w:r>
            <w:r w:rsidR="00D6525C" w:rsidRPr="00D6525C">
              <w:rPr>
                <w:b w:val="0"/>
                <w:caps w:val="0"/>
                <w:noProof/>
                <w:webHidden/>
                <w:color w:val="2E74B5" w:themeColor="accent1" w:themeShade="BF"/>
              </w:rPr>
              <w:fldChar w:fldCharType="end"/>
            </w:r>
          </w:hyperlink>
        </w:p>
        <w:p w14:paraId="2266FD01" w14:textId="77777777" w:rsidR="00CF4085" w:rsidRPr="00BE3C01" w:rsidRDefault="00CF4085" w:rsidP="00B46401">
          <w:pPr>
            <w:spacing w:line="276" w:lineRule="auto"/>
            <w:rPr>
              <w:color w:val="2E74B5" w:themeColor="accent1" w:themeShade="BF"/>
            </w:rPr>
          </w:pPr>
          <w:r w:rsidRPr="008D20F5">
            <w:rPr>
              <w:rFonts w:asciiTheme="majorHAnsi" w:hAnsiTheme="majorHAnsi"/>
              <w:bCs/>
              <w:noProof/>
              <w:color w:val="2E74B5" w:themeColor="accent1" w:themeShade="BF"/>
            </w:rPr>
            <w:fldChar w:fldCharType="end"/>
          </w:r>
        </w:p>
      </w:sdtContent>
    </w:sdt>
    <w:p w14:paraId="20919027" w14:textId="77777777" w:rsidR="004C5340" w:rsidRDefault="00533676" w:rsidP="00B46401">
      <w:pPr>
        <w:pStyle w:val="Nagwek1"/>
        <w:spacing w:line="276" w:lineRule="auto"/>
      </w:pPr>
      <w:bookmarkStart w:id="0" w:name="_Toc448419452"/>
      <w:r>
        <w:t>Wstęp.</w:t>
      </w:r>
      <w:bookmarkEnd w:id="0"/>
      <w:r>
        <w:t xml:space="preserve"> </w:t>
      </w:r>
      <w:bookmarkStart w:id="1" w:name="_GoBack"/>
      <w:bookmarkEnd w:id="1"/>
    </w:p>
    <w:p w14:paraId="0B53F0A1" w14:textId="77777777" w:rsidR="00533676" w:rsidRDefault="00533676" w:rsidP="00B46401">
      <w:pPr>
        <w:spacing w:line="276" w:lineRule="auto"/>
        <w:jc w:val="both"/>
      </w:pPr>
    </w:p>
    <w:p w14:paraId="2E42F667" w14:textId="26A98C3B" w:rsidR="00B74F76" w:rsidRDefault="00B74F76" w:rsidP="00B46401">
      <w:pPr>
        <w:spacing w:line="276" w:lineRule="auto"/>
        <w:ind w:firstLine="708"/>
        <w:jc w:val="both"/>
      </w:pPr>
      <w:r>
        <w:t xml:space="preserve">Na 18 </w:t>
      </w:r>
      <w:r w:rsidR="00D91498">
        <w:t>kwietnia</w:t>
      </w:r>
      <w:r>
        <w:t xml:space="preserve"> przypada 10 rocznica </w:t>
      </w:r>
      <w:r w:rsidR="007452DB">
        <w:t>Eu</w:t>
      </w:r>
      <w:r w:rsidR="00C34384">
        <w:t>ropejski</w:t>
      </w:r>
      <w:r>
        <w:t>ego Dnia P</w:t>
      </w:r>
      <w:r w:rsidR="00C34384">
        <w:t>acjenta</w:t>
      </w:r>
      <w:r>
        <w:t>. T</w:t>
      </w:r>
      <w:r w:rsidR="00C34384">
        <w:t>o dobra</w:t>
      </w:r>
      <w:r w:rsidR="007452DB">
        <w:t xml:space="preserve"> </w:t>
      </w:r>
      <w:r w:rsidR="00C34384">
        <w:t>okazja</w:t>
      </w:r>
      <w:r w:rsidR="007452DB">
        <w:t xml:space="preserve"> aby przyjrzeć się prawom pacjenta w szerokim kontekście</w:t>
      </w:r>
      <w:r w:rsidR="00CF4085">
        <w:t xml:space="preserve">. </w:t>
      </w:r>
      <w:r>
        <w:t xml:space="preserve">Dzisiaj </w:t>
      </w:r>
      <w:r w:rsidR="00F27BC3">
        <w:t>nie powinno budzić</w:t>
      </w:r>
      <w:r>
        <w:t xml:space="preserve"> wątpliwości</w:t>
      </w:r>
      <w:r w:rsidR="00F27BC3">
        <w:t>,</w:t>
      </w:r>
      <w:r>
        <w:t xml:space="preserve"> że prawa pacjenta </w:t>
      </w:r>
      <w:r w:rsidR="00F27BC3">
        <w:t>należą do grupy</w:t>
      </w:r>
      <w:r>
        <w:t xml:space="preserve"> praw człowieka i jako takie podlegają </w:t>
      </w:r>
      <w:r w:rsidR="00EC4F78">
        <w:t>ścisłej</w:t>
      </w:r>
      <w:r>
        <w:t xml:space="preserve"> ochronie prawnej. </w:t>
      </w:r>
      <w:r w:rsidR="009F60BB">
        <w:t xml:space="preserve">W tym kontekście pojawia się bardzo uzasadnione pytanie: jeśli faktycznie tak jest, że prawa pacjenta podlegają ścisłej ochronie prawnej to z jakiego powodu nadal jest to pole częstych uchybień? </w:t>
      </w:r>
      <w:r w:rsidR="004302F8">
        <w:t xml:space="preserve">Wiele podmiotów leczniczych podejmuje działania </w:t>
      </w:r>
      <w:r w:rsidR="004952E6">
        <w:t xml:space="preserve">zmierzające </w:t>
      </w:r>
      <w:r w:rsidR="001E5504">
        <w:br/>
      </w:r>
      <w:r w:rsidR="004952E6">
        <w:t xml:space="preserve">do poprawy przestrzegania praw pacjenta: w każdej placówce karta praw pacjenta jest dostępna w widocznym miejscu, dyrektorzy szpitali powołują stanowiska pełnomocników ds. praw pacjenta, przestrzeganie praw pacjenta </w:t>
      </w:r>
      <w:r w:rsidR="00C649EB">
        <w:t>jest</w:t>
      </w:r>
      <w:r w:rsidR="004952E6">
        <w:t xml:space="preserve"> elementem oceny akredytacyjnej a mimo to </w:t>
      </w:r>
      <w:r w:rsidR="00C649EB">
        <w:t xml:space="preserve">jeśli przyglądamy się sprawom konkretnych pacjentów to nadal istnieje wiele obszarów w których prawa te są naruszane. Świadczy o tym ilość spraw rozpatrywanych przez Rzecznika Praw Pacjenta, </w:t>
      </w:r>
      <w:r w:rsidR="00432F08">
        <w:t>oraz ilość spraw będących przedmiotem postępowań sądowych. Dlaczego tak jest? Może przyczyny należy szukać w innym miejscu?</w:t>
      </w:r>
      <w:r w:rsidR="002B1324">
        <w:t xml:space="preserve"> Po pierwsze</w:t>
      </w:r>
      <w:r w:rsidR="00432F08">
        <w:t xml:space="preserve"> </w:t>
      </w:r>
      <w:r w:rsidR="002B1324">
        <w:t>j</w:t>
      </w:r>
      <w:r w:rsidR="002A214E">
        <w:t xml:space="preserve">eśli spojrzymy na przepisy prawa dostrzegając, że zawierają one normy </w:t>
      </w:r>
      <w:proofErr w:type="spellStart"/>
      <w:r w:rsidR="002A214E">
        <w:t>powinnego</w:t>
      </w:r>
      <w:proofErr w:type="spellEnd"/>
      <w:r w:rsidR="002A214E">
        <w:t xml:space="preserve"> zachowania</w:t>
      </w:r>
      <w:r w:rsidR="002B1324">
        <w:t>, czyli określają w j</w:t>
      </w:r>
      <w:r w:rsidR="002A214E">
        <w:t>akich sytuacjach</w:t>
      </w:r>
      <w:r w:rsidR="00EC4F78">
        <w:t>, w</w:t>
      </w:r>
      <w:r w:rsidR="002A214E">
        <w:t xml:space="preserve"> jak</w:t>
      </w:r>
      <w:r w:rsidR="002B1324">
        <w:t>i sposób</w:t>
      </w:r>
      <w:r w:rsidR="002A214E">
        <w:t xml:space="preserve"> i kto powinien lub może się zachowywać, to wówczas okazuje się, że warunkiem sine qua non przestrzegania prawa jest zrozumienie jego istoty. </w:t>
      </w:r>
      <w:r w:rsidR="002B1324">
        <w:t>Po drugie prawo w polskim porządku prawnym tworzy system wzajemnych zale</w:t>
      </w:r>
      <w:r w:rsidR="00BE47AC">
        <w:t>żności, zatem chcąc rozmawiać o</w:t>
      </w:r>
      <w:r w:rsidR="002B1324">
        <w:t xml:space="preserve"> prawach pacjenta należy uwzględniać cały system praw i obowiązków który jest związany z przestrzeganiem praw pacjenta. </w:t>
      </w:r>
      <w:r w:rsidR="00C837ED">
        <w:t xml:space="preserve">Po trzecie, </w:t>
      </w:r>
      <w:r w:rsidR="009616EB">
        <w:t xml:space="preserve">należy zdefiniować jeśli są i dążyć do likwidacji barier uniemożliwiających właściwą realizację praw pacjenta. </w:t>
      </w:r>
    </w:p>
    <w:p w14:paraId="59F3A3CF" w14:textId="77777777" w:rsidR="00B74F76" w:rsidRDefault="00B74F76" w:rsidP="00B46401">
      <w:pPr>
        <w:spacing w:line="276" w:lineRule="auto"/>
        <w:ind w:firstLine="708"/>
        <w:jc w:val="both"/>
      </w:pPr>
    </w:p>
    <w:p w14:paraId="72E02698" w14:textId="55508503" w:rsidR="00533676" w:rsidRDefault="00C34384" w:rsidP="00B46401">
      <w:pPr>
        <w:spacing w:line="276" w:lineRule="auto"/>
        <w:ind w:firstLine="708"/>
        <w:jc w:val="both"/>
      </w:pPr>
      <w:r>
        <w:t xml:space="preserve">Instytut Praw Pacjenta wraz z Fundacją Centrum Inicjatyw Gospodarka i Zdrowie oraz </w:t>
      </w:r>
      <w:r w:rsidR="001E5504">
        <w:t>przy patronacie Polskiej</w:t>
      </w:r>
      <w:r>
        <w:t xml:space="preserve"> </w:t>
      </w:r>
      <w:r w:rsidR="001E5504">
        <w:t>Federacji</w:t>
      </w:r>
      <w:r>
        <w:t xml:space="preserve"> Szpitali podjęły </w:t>
      </w:r>
      <w:r w:rsidR="00B74F76">
        <w:t xml:space="preserve">dyskusję na temat </w:t>
      </w:r>
      <w:r w:rsidR="00827FDC">
        <w:t xml:space="preserve">praw pacjenta </w:t>
      </w:r>
      <w:r w:rsidR="00827FDC">
        <w:lastRenderedPageBreak/>
        <w:t xml:space="preserve">zapraszając do udziału w rozmowie przedstawicieli: </w:t>
      </w:r>
      <w:r w:rsidR="00CE3B72">
        <w:t>menedżer</w:t>
      </w:r>
      <w:r w:rsidR="00827FDC">
        <w:t>ów</w:t>
      </w:r>
      <w:r w:rsidR="00BE47AC">
        <w:t xml:space="preserve"> </w:t>
      </w:r>
      <w:r w:rsidR="00CE3B72">
        <w:t xml:space="preserve">ochrony zdrowia, Rzecznika Praw Pacjenta, pacjenta, prawników. </w:t>
      </w:r>
    </w:p>
    <w:p w14:paraId="1C3592BA" w14:textId="77777777" w:rsidR="00533676" w:rsidRDefault="00533676" w:rsidP="00B46401">
      <w:pPr>
        <w:spacing w:line="276" w:lineRule="auto"/>
        <w:jc w:val="both"/>
      </w:pPr>
    </w:p>
    <w:p w14:paraId="4E4AA6A3" w14:textId="77777777" w:rsidR="004C5340" w:rsidRDefault="00C34384" w:rsidP="00B46401">
      <w:pPr>
        <w:pStyle w:val="Nagwek1"/>
        <w:spacing w:line="276" w:lineRule="auto"/>
      </w:pPr>
      <w:bookmarkStart w:id="2" w:name="_Toc448419453"/>
      <w:r>
        <w:t>Prawa pacjenta w prawie Unii E</w:t>
      </w:r>
      <w:r w:rsidR="00F2391D">
        <w:t>uropejskiej</w:t>
      </w:r>
      <w:r w:rsidR="004C5340">
        <w:t>.</w:t>
      </w:r>
      <w:bookmarkEnd w:id="2"/>
      <w:r w:rsidR="004C5340">
        <w:t xml:space="preserve"> </w:t>
      </w:r>
    </w:p>
    <w:p w14:paraId="20E7967B" w14:textId="77777777" w:rsidR="004C5340" w:rsidRDefault="004C5340" w:rsidP="00B46401">
      <w:pPr>
        <w:spacing w:line="276" w:lineRule="auto"/>
        <w:jc w:val="both"/>
      </w:pPr>
    </w:p>
    <w:p w14:paraId="6F84A94C" w14:textId="77777777" w:rsidR="000E40D7" w:rsidRDefault="00F241C2" w:rsidP="00B46401">
      <w:pPr>
        <w:spacing w:line="276" w:lineRule="auto"/>
        <w:ind w:firstLine="708"/>
        <w:jc w:val="both"/>
      </w:pPr>
      <w:r>
        <w:t>Państwa członkowskie</w:t>
      </w:r>
      <w:r w:rsidR="00927CE7">
        <w:t xml:space="preserve"> </w:t>
      </w:r>
      <w:r>
        <w:t xml:space="preserve">są zobowiązane </w:t>
      </w:r>
      <w:r w:rsidR="00927CE7">
        <w:t>d</w:t>
      </w:r>
      <w:r w:rsidR="00CE3B72">
        <w:t>o przestrzegania praw człowieka, a więc i p</w:t>
      </w:r>
      <w:r w:rsidR="00927CE7">
        <w:t>raw</w:t>
      </w:r>
      <w:r w:rsidR="00CE3B72">
        <w:t xml:space="preserve"> pacjenta </w:t>
      </w:r>
      <w:r>
        <w:t>na mocy przepisu</w:t>
      </w:r>
      <w:r w:rsidR="00CE3B72">
        <w:t xml:space="preserve"> art. 2 </w:t>
      </w:r>
      <w:r w:rsidR="00CE3B72" w:rsidRPr="00CE3B72">
        <w:rPr>
          <w:i/>
        </w:rPr>
        <w:t>Traktat o Unii Europejskiej</w:t>
      </w:r>
      <w:r w:rsidR="00D642B9">
        <w:rPr>
          <w:i/>
        </w:rPr>
        <w:t xml:space="preserve"> </w:t>
      </w:r>
      <w:r w:rsidR="00D642B9">
        <w:t>wskazując</w:t>
      </w:r>
      <w:r>
        <w:t>ego</w:t>
      </w:r>
      <w:r w:rsidR="00D642B9">
        <w:t xml:space="preserve"> że </w:t>
      </w:r>
      <w:r w:rsidR="00D642B9">
        <w:rPr>
          <w:i/>
        </w:rPr>
        <w:t>„</w:t>
      </w:r>
      <w:r w:rsidR="00A867E8" w:rsidRPr="00A867E8">
        <w:rPr>
          <w:i/>
        </w:rPr>
        <w:t>Unia opiera się na wartościach poszanowania godności osoby ludzkiej, wolności, demokracji, równości, państwa prawnego, jak równ</w:t>
      </w:r>
      <w:r w:rsidR="00A867E8">
        <w:rPr>
          <w:i/>
        </w:rPr>
        <w:t>ież poszanowania praw człowieka”.</w:t>
      </w:r>
      <w:r w:rsidR="00D642B9">
        <w:rPr>
          <w:i/>
        </w:rPr>
        <w:t xml:space="preserve"> </w:t>
      </w:r>
    </w:p>
    <w:p w14:paraId="4F5FC6CA" w14:textId="38762CE7" w:rsidR="00272D51" w:rsidRDefault="00272D51" w:rsidP="00B46401">
      <w:pPr>
        <w:spacing w:line="276" w:lineRule="auto"/>
        <w:ind w:firstLine="708"/>
        <w:jc w:val="both"/>
      </w:pPr>
      <w:r w:rsidRPr="00272D51">
        <w:rPr>
          <w:b/>
        </w:rPr>
        <w:t>Do najistotniejszych dokonań w zakresie ochrony praw człowieka należy zaliczyć uchwalenie</w:t>
      </w:r>
      <w:r w:rsidRPr="00272D51">
        <w:t>:</w:t>
      </w:r>
      <w:r w:rsidR="00BE47AC">
        <w:t xml:space="preserve"> </w:t>
      </w:r>
      <w:r w:rsidRPr="00272D51">
        <w:t xml:space="preserve">4 listopada 1950 r. </w:t>
      </w:r>
      <w:r w:rsidR="002377B5">
        <w:rPr>
          <w:b/>
          <w:i/>
        </w:rPr>
        <w:t>Konwencji o ochronie praw człowieka i podstawowych w</w:t>
      </w:r>
      <w:r w:rsidRPr="00272D51">
        <w:rPr>
          <w:b/>
          <w:i/>
        </w:rPr>
        <w:t>olności</w:t>
      </w:r>
      <w:r w:rsidRPr="00272D51">
        <w:t xml:space="preserve">, zwaną </w:t>
      </w:r>
      <w:r w:rsidRPr="002377B5">
        <w:rPr>
          <w:i/>
        </w:rPr>
        <w:t>Europejską Konwencją Praw Człowieka</w:t>
      </w:r>
      <w:r>
        <w:t>. Zgodnie z przepisami art. 2,</w:t>
      </w:r>
      <w:r w:rsidR="00CC3077">
        <w:t xml:space="preserve"> </w:t>
      </w:r>
      <w:r w:rsidR="00BE47AC">
        <w:t xml:space="preserve">5, i 8 </w:t>
      </w:r>
      <w:r w:rsidR="00BE47AC" w:rsidRPr="002377B5">
        <w:rPr>
          <w:i/>
        </w:rPr>
        <w:t>Konwencja</w:t>
      </w:r>
      <w:r w:rsidRPr="002377B5">
        <w:rPr>
          <w:i/>
        </w:rPr>
        <w:t xml:space="preserve"> Praw Człowieka</w:t>
      </w:r>
      <w:r>
        <w:t xml:space="preserve"> zobowiązuje strony umowy międzynarodowej do poszanowania prawa człowieka do życia, wolności oraz bezpieczeństwa osobistego, poszanowania życia prywatnego i rodzinnego. Ingerencja w to prawo jest niedopuszczalna, chyba że jest </w:t>
      </w:r>
      <w:r w:rsidR="002377B5">
        <w:br/>
      </w:r>
      <w:r>
        <w:t>t</w:t>
      </w:r>
      <w:r w:rsidR="00CC3077">
        <w:t>o konieczne i wynika</w:t>
      </w:r>
      <w:r w:rsidR="00BE47AC">
        <w:t xml:space="preserve"> </w:t>
      </w:r>
      <w:r w:rsidR="00CC3077">
        <w:t>z ustawy.</w:t>
      </w:r>
      <w:r w:rsidR="000E40D7">
        <w:t xml:space="preserve"> Trzeba podkreślić, że w przepisie art. 6 ust. 2 </w:t>
      </w:r>
      <w:r w:rsidR="00842257" w:rsidRPr="002377B5">
        <w:rPr>
          <w:i/>
        </w:rPr>
        <w:t>Traktatu o Unii Europejskiej</w:t>
      </w:r>
      <w:r w:rsidR="00842257">
        <w:t xml:space="preserve">, </w:t>
      </w:r>
      <w:r w:rsidR="000E40D7">
        <w:t>Unia a zatem wszystkie państwa członkowskie przyjęły konwencję o ochronie praw cz</w:t>
      </w:r>
      <w:r w:rsidR="00842257">
        <w:t xml:space="preserve">łowieka i podstawowych wolności. </w:t>
      </w:r>
    </w:p>
    <w:p w14:paraId="285A08BA" w14:textId="6DD83DC3" w:rsidR="00B46401" w:rsidRDefault="00B46401" w:rsidP="00B46401">
      <w:pPr>
        <w:tabs>
          <w:tab w:val="left" w:pos="2133"/>
        </w:tabs>
        <w:spacing w:line="276" w:lineRule="auto"/>
        <w:ind w:firstLine="708"/>
        <w:jc w:val="both"/>
      </w:pPr>
      <w:r>
        <w:t xml:space="preserve">Organem stojącym na straży przestrzegania praw człowieka jest Europejski Trybunał Praw Człowieka. W następstwie zmian wprowadzonych Protokołem 11. w 1998 Trybunał Praw Człowieka stał się jedynym i działającym w pełnym wymiarze czasu organem sądowym </w:t>
      </w:r>
      <w:r w:rsidRPr="002377B5">
        <w:rPr>
          <w:i/>
        </w:rPr>
        <w:t>Europejskiej Konwencji Praw Człowieka</w:t>
      </w:r>
      <w:r>
        <w:t xml:space="preserve">, zastępując w tym zakresie Europejską Komisję Praw Człowieka i Trybunał Praw Człowieka. </w:t>
      </w:r>
    </w:p>
    <w:p w14:paraId="210D9D24" w14:textId="77777777" w:rsidR="00B46401" w:rsidRDefault="00B46401" w:rsidP="00B46401">
      <w:pPr>
        <w:tabs>
          <w:tab w:val="left" w:pos="2133"/>
        </w:tabs>
        <w:spacing w:line="276" w:lineRule="auto"/>
        <w:ind w:firstLine="708"/>
        <w:jc w:val="both"/>
      </w:pPr>
      <w:r>
        <w:t xml:space="preserve">Trybunał orzeka w sprawach praw człowieka zapisanych w </w:t>
      </w:r>
      <w:r w:rsidRPr="00BE47AC">
        <w:rPr>
          <w:i/>
        </w:rPr>
        <w:t>Europejskiej Konwencji Praw Człowieka</w:t>
      </w:r>
      <w:r>
        <w:t xml:space="preserve"> i protokołach dodatkowych do niej, rozpatrując skargi obywateli 47 państw członkowskich Rady Europy, które ratyfikowały Konwencję.</w:t>
      </w:r>
    </w:p>
    <w:p w14:paraId="22523231" w14:textId="77777777" w:rsidR="00736116" w:rsidRDefault="00B46401" w:rsidP="00736116">
      <w:pPr>
        <w:tabs>
          <w:tab w:val="left" w:pos="2133"/>
        </w:tabs>
        <w:spacing w:line="276" w:lineRule="auto"/>
        <w:ind w:firstLine="708"/>
        <w:jc w:val="both"/>
        <w:rPr>
          <w:b/>
        </w:rPr>
      </w:pPr>
      <w:r w:rsidRPr="00B46401">
        <w:rPr>
          <w:b/>
        </w:rPr>
        <w:t>Decyzje Trybunału są ostateczne i nie ma od nich odwołania. Obowiązkiem każdego państwa jako strony postępowania jest podjęcie działań mających na celu zlikwidowanie naruszeń, które w orzeczeniu określił Trybunał.</w:t>
      </w:r>
      <w:r w:rsidR="00994694">
        <w:rPr>
          <w:b/>
        </w:rPr>
        <w:t xml:space="preserve"> </w:t>
      </w:r>
    </w:p>
    <w:p w14:paraId="465C398C" w14:textId="77777777" w:rsidR="00736116" w:rsidRDefault="00736116" w:rsidP="00736116">
      <w:pPr>
        <w:tabs>
          <w:tab w:val="left" w:pos="2133"/>
        </w:tabs>
        <w:spacing w:line="276" w:lineRule="auto"/>
        <w:ind w:firstLine="708"/>
        <w:jc w:val="both"/>
        <w:rPr>
          <w:b/>
        </w:rPr>
      </w:pPr>
    </w:p>
    <w:p w14:paraId="5B188F18" w14:textId="77777777" w:rsidR="00F2391D" w:rsidRPr="00736116" w:rsidRDefault="00F2391D" w:rsidP="00736116">
      <w:pPr>
        <w:pStyle w:val="Nagwek1"/>
        <w:keepNext w:val="0"/>
        <w:keepLines w:val="0"/>
        <w:rPr>
          <w:b/>
        </w:rPr>
      </w:pPr>
      <w:bookmarkStart w:id="3" w:name="_Toc448419454"/>
      <w:r>
        <w:t>Prawa pacjenta w prawie krajowym.</w:t>
      </w:r>
      <w:bookmarkEnd w:id="3"/>
      <w:r>
        <w:t xml:space="preserve"> </w:t>
      </w:r>
    </w:p>
    <w:p w14:paraId="58366063" w14:textId="77777777" w:rsidR="00533676" w:rsidRDefault="00533676" w:rsidP="00736116"/>
    <w:p w14:paraId="391C998C" w14:textId="2A0E3ACF" w:rsidR="00736116" w:rsidRDefault="00736116" w:rsidP="00F73A13">
      <w:pPr>
        <w:spacing w:line="276" w:lineRule="auto"/>
        <w:ind w:firstLine="708"/>
        <w:jc w:val="both"/>
      </w:pPr>
      <w:r>
        <w:t xml:space="preserve">Przede wszystkim należy </w:t>
      </w:r>
      <w:r w:rsidR="00733FC7">
        <w:t xml:space="preserve">podkreślić, że </w:t>
      </w:r>
      <w:r w:rsidR="00BB50DA">
        <w:t xml:space="preserve">pomiędzy porządkiem prawnym państw członkowskich a prawem </w:t>
      </w:r>
      <w:r w:rsidR="00ED1813">
        <w:t>U</w:t>
      </w:r>
      <w:r w:rsidR="00BB50DA">
        <w:t xml:space="preserve">nii </w:t>
      </w:r>
      <w:r w:rsidR="00ED1813">
        <w:t xml:space="preserve">Europejskiej </w:t>
      </w:r>
      <w:r w:rsidR="00BB50DA">
        <w:t>istnieje ścisła relacja</w:t>
      </w:r>
      <w:r w:rsidR="003F7B6B">
        <w:t xml:space="preserve"> polegająca na włączeniu </w:t>
      </w:r>
      <w:r w:rsidR="00230B76">
        <w:br/>
      </w:r>
      <w:r w:rsidR="00BE47AC">
        <w:t>do krajowego porządku prawnego</w:t>
      </w:r>
      <w:r w:rsidR="003F7B6B">
        <w:t xml:space="preserve"> </w:t>
      </w:r>
      <w:r w:rsidR="00ED1813">
        <w:t xml:space="preserve">przepisów prawa unijnego w zakresie wskazanym w </w:t>
      </w:r>
      <w:r w:rsidR="00ED1813" w:rsidRPr="00BE47AC">
        <w:rPr>
          <w:i/>
        </w:rPr>
        <w:t>Traktacie o Unii Europejskiej</w:t>
      </w:r>
      <w:r w:rsidR="00ED1813">
        <w:t xml:space="preserve"> i </w:t>
      </w:r>
      <w:r w:rsidR="00ED1813" w:rsidRPr="00BE47AC">
        <w:rPr>
          <w:i/>
        </w:rPr>
        <w:t>Traktacie o funkcjonowaniu Unii Europejskiej</w:t>
      </w:r>
      <w:r w:rsidR="00230B76">
        <w:t xml:space="preserve"> oraz protokołach dodatkowych do nich</w:t>
      </w:r>
      <w:r w:rsidR="00ED1813">
        <w:t xml:space="preserve">. </w:t>
      </w:r>
    </w:p>
    <w:p w14:paraId="193B52B3" w14:textId="77777777" w:rsidR="00230B76" w:rsidRDefault="00230B76" w:rsidP="00230B76">
      <w:pPr>
        <w:spacing w:line="276" w:lineRule="auto"/>
        <w:ind w:firstLine="708"/>
        <w:jc w:val="both"/>
      </w:pPr>
      <w:r>
        <w:t xml:space="preserve">Zgodnie z polskim porządkiem prawnym gwarancje praw człowieka zawarte są </w:t>
      </w:r>
      <w:r w:rsidR="00764EED">
        <w:br/>
      </w:r>
      <w:r>
        <w:t xml:space="preserve">w </w:t>
      </w:r>
      <w:r w:rsidRPr="00230B76">
        <w:rPr>
          <w:i/>
        </w:rPr>
        <w:t>Konstytucji Rzeczypospolitej Polskiej</w:t>
      </w:r>
      <w:r>
        <w:t xml:space="preserve">. Zapewniają one każdemu prawo do: zdrowia </w:t>
      </w:r>
      <w:r w:rsidR="00764EED">
        <w:br/>
      </w:r>
      <w:r>
        <w:lastRenderedPageBreak/>
        <w:t xml:space="preserve">i równego dostępu do świadczeń zdrowotnych zgodnie z zasadami określonymi w ustawie, godności, wolności osobistej i nietykalności, jak również dostępu do dotyczących </w:t>
      </w:r>
      <w:r w:rsidR="0090326F">
        <w:br/>
      </w:r>
      <w:r>
        <w:t xml:space="preserve">go urzędowych dokumentów i zbiorów danych. </w:t>
      </w:r>
    </w:p>
    <w:p w14:paraId="13E05168" w14:textId="7772B886" w:rsidR="00AB5E3D" w:rsidRDefault="00A36449" w:rsidP="00A36449">
      <w:pPr>
        <w:spacing w:line="276" w:lineRule="auto"/>
        <w:jc w:val="both"/>
      </w:pPr>
      <w:r>
        <w:tab/>
        <w:t>Refleksem pr</w:t>
      </w:r>
      <w:r w:rsidR="003D7E2C">
        <w:t xml:space="preserve">aw człowieka są prawa pacjenta opisane w </w:t>
      </w:r>
      <w:r w:rsidR="003D7E2C" w:rsidRPr="00BE47AC">
        <w:rPr>
          <w:i/>
        </w:rPr>
        <w:t>ustawie o prawach pac</w:t>
      </w:r>
      <w:r w:rsidR="0090326F" w:rsidRPr="00BE47AC">
        <w:rPr>
          <w:i/>
        </w:rPr>
        <w:t xml:space="preserve">jenta </w:t>
      </w:r>
      <w:r w:rsidR="0090326F" w:rsidRPr="00BE47AC">
        <w:rPr>
          <w:i/>
        </w:rPr>
        <w:br/>
        <w:t>i Rzeczniku Praw Pacjenta</w:t>
      </w:r>
      <w:r w:rsidR="0090326F">
        <w:t xml:space="preserve">. </w:t>
      </w:r>
      <w:r w:rsidR="003D0E29">
        <w:t xml:space="preserve">Tym samym należy podkreślić, że prawa pacjenta są prawami gwarantowanymi konstytucyjnie. </w:t>
      </w:r>
      <w:r w:rsidR="0090326F">
        <w:t xml:space="preserve">Zgodnie z art. 2 </w:t>
      </w:r>
      <w:r w:rsidR="002377B5">
        <w:rPr>
          <w:i/>
        </w:rPr>
        <w:t>ustawy o prawach pacjenta i R</w:t>
      </w:r>
      <w:r w:rsidR="0090326F" w:rsidRPr="002377B5">
        <w:rPr>
          <w:i/>
        </w:rPr>
        <w:t>zeczniku Praw</w:t>
      </w:r>
      <w:r w:rsidR="002377B5">
        <w:rPr>
          <w:i/>
        </w:rPr>
        <w:t xml:space="preserve"> P</w:t>
      </w:r>
      <w:r w:rsidR="0090326F" w:rsidRPr="002377B5">
        <w:rPr>
          <w:i/>
        </w:rPr>
        <w:t>acjenta</w:t>
      </w:r>
      <w:r w:rsidR="0090326F">
        <w:t xml:space="preserve"> </w:t>
      </w:r>
      <w:r w:rsidR="0090326F">
        <w:rPr>
          <w:b/>
        </w:rPr>
        <w:t>p</w:t>
      </w:r>
      <w:r w:rsidR="00FB2EE8" w:rsidRPr="00FB2EE8">
        <w:rPr>
          <w:b/>
        </w:rPr>
        <w:t>rzestrzeganie praw pacjenta określonych w ustawie jest obowiązkiem organów władzy publicznej właściwych w zakresie ochrony zdrowia (Minister Zdrowia), Narodowego Funduszu Zdrowia, podmiotów udzielających świadczeń zdrowotnych, osób wykonujących zawód medyczny oraz innych osób uczestniczących w udzielaniu świadczeń zdrowotnych.</w:t>
      </w:r>
      <w:r w:rsidR="0090326F">
        <w:rPr>
          <w:b/>
        </w:rPr>
        <w:t xml:space="preserve"> </w:t>
      </w:r>
      <w:r w:rsidR="00CA23E4">
        <w:t xml:space="preserve">Analizując przepisy prawa związane z organizacją ochrony zdrowia i udzielaniem świadczeń trzeba zwrócić uwagę, że </w:t>
      </w:r>
      <w:r w:rsidR="00F66B64">
        <w:t xml:space="preserve">przepisom nadającym poszczególne uprawnienia pacjentom odpowiadają przepisy nakładające uprawnienia i zobowiązania na wszystkie podmioty zobowiązanie do przestrzegania praw pacjenta. </w:t>
      </w:r>
      <w:r w:rsidR="00E5275E">
        <w:t>Zatem istnieje ścisła relacja pomiędzy poszczególnymi prawami pacjenta a prawami i obowiązkami: płatnika, lekarzy, osób udzielających świadczenia</w:t>
      </w:r>
      <w:r w:rsidR="00D03EC4">
        <w:t xml:space="preserve"> tj. pielęgniarka, farmaceuta</w:t>
      </w:r>
      <w:r w:rsidR="00E5275E">
        <w:t xml:space="preserve">, a także osób uczestniczących </w:t>
      </w:r>
      <w:r w:rsidR="00AB5E3D">
        <w:br/>
      </w:r>
      <w:r w:rsidR="00E5275E">
        <w:t xml:space="preserve">w udzielaniu świadczeń. Kto jednak należy do katalogu osób </w:t>
      </w:r>
      <w:r w:rsidR="00D03EC4">
        <w:t>uczestniczących w udzielaniu świadczeń? Będzie to każda osoba której działanie</w:t>
      </w:r>
      <w:r w:rsidR="00E5275E">
        <w:t xml:space="preserve"> w jakikolwiek sposób</w:t>
      </w:r>
      <w:r w:rsidR="00BE47AC">
        <w:t xml:space="preserve"> </w:t>
      </w:r>
      <w:r w:rsidR="00D03EC4">
        <w:t xml:space="preserve">jest związane </w:t>
      </w:r>
      <w:r w:rsidR="00AB5E3D">
        <w:br/>
      </w:r>
      <w:r w:rsidR="00D03EC4">
        <w:t>z k</w:t>
      </w:r>
      <w:r w:rsidR="0039202D">
        <w:t>tórymkolwiek</w:t>
      </w:r>
      <w:r w:rsidR="00D03EC4">
        <w:t xml:space="preserve"> z etapów udzielania świadczenia w podmiocie leczniczym tj. od momentu przyjęcia pacjenta do momentu jego wypisania. </w:t>
      </w:r>
      <w:r w:rsidR="00242069">
        <w:t xml:space="preserve">Z pewnością do katalogu tych osób należy zaliczyć: osoby pracujące w rejestracji, osoby pracujące w działach administracyjnych – odpowiedzialne za współpracę podmiotu leczniczego z płatnikiem, </w:t>
      </w:r>
      <w:r w:rsidR="00AB5E3D">
        <w:t xml:space="preserve">a także </w:t>
      </w:r>
      <w:r w:rsidR="00242069">
        <w:t>osoby pracujące w dziale zamówień publicznych.</w:t>
      </w:r>
      <w:r w:rsidR="003D0E29">
        <w:t xml:space="preserve"> </w:t>
      </w:r>
    </w:p>
    <w:p w14:paraId="1F9FB4FC" w14:textId="77777777" w:rsidR="00AB5E3D" w:rsidRDefault="00AB5E3D" w:rsidP="00A36449">
      <w:pPr>
        <w:spacing w:line="276" w:lineRule="auto"/>
        <w:jc w:val="both"/>
      </w:pPr>
    </w:p>
    <w:p w14:paraId="4CEEF5D9" w14:textId="77777777" w:rsidR="00C556FD" w:rsidRDefault="00DD4A20" w:rsidP="00A36449">
      <w:pPr>
        <w:spacing w:line="276" w:lineRule="auto"/>
        <w:jc w:val="both"/>
      </w:pPr>
      <w:r>
        <w:t>Prawa pacjenta określone w</w:t>
      </w:r>
      <w:r w:rsidR="00C556FD">
        <w:t>:</w:t>
      </w:r>
    </w:p>
    <w:p w14:paraId="065A588F" w14:textId="77777777" w:rsidR="00BE3C01" w:rsidRDefault="00BE3C01" w:rsidP="00A36449">
      <w:pPr>
        <w:spacing w:line="276" w:lineRule="auto"/>
        <w:jc w:val="both"/>
      </w:pPr>
    </w:p>
    <w:p w14:paraId="53040771" w14:textId="77777777" w:rsidR="00C556FD" w:rsidRDefault="00C556FD" w:rsidP="00C556FD">
      <w:pPr>
        <w:pStyle w:val="Akapitzlist"/>
        <w:numPr>
          <w:ilvl w:val="0"/>
          <w:numId w:val="3"/>
        </w:numPr>
        <w:spacing w:line="276" w:lineRule="auto"/>
        <w:jc w:val="both"/>
      </w:pPr>
      <w:r w:rsidRPr="00BE3C01">
        <w:rPr>
          <w:i/>
        </w:rPr>
        <w:t>Konstytucji Rzeczypospolitej Polskiej</w:t>
      </w:r>
      <w:r>
        <w:t>:</w:t>
      </w:r>
    </w:p>
    <w:p w14:paraId="5C9E5B4E" w14:textId="77777777" w:rsidR="00C556FD" w:rsidRDefault="00C556FD" w:rsidP="00C556FD">
      <w:pPr>
        <w:pStyle w:val="Akapitzlist"/>
        <w:spacing w:line="276" w:lineRule="auto"/>
        <w:jc w:val="both"/>
      </w:pPr>
    </w:p>
    <w:p w14:paraId="4221B6B2" w14:textId="77777777" w:rsidR="00C556FD" w:rsidRDefault="00BE3C01" w:rsidP="00C556FD">
      <w:pPr>
        <w:pStyle w:val="Akapitzlist"/>
        <w:numPr>
          <w:ilvl w:val="0"/>
          <w:numId w:val="5"/>
        </w:numPr>
        <w:spacing w:line="276" w:lineRule="auto"/>
        <w:jc w:val="both"/>
      </w:pPr>
      <w:r>
        <w:t>P</w:t>
      </w:r>
      <w:r w:rsidR="00C556FD">
        <w:t>rawo do wolności,</w:t>
      </w:r>
    </w:p>
    <w:p w14:paraId="226AB211" w14:textId="77777777" w:rsidR="00C556FD" w:rsidRDefault="00BE3C01" w:rsidP="00C556FD">
      <w:pPr>
        <w:pStyle w:val="Akapitzlist"/>
        <w:numPr>
          <w:ilvl w:val="0"/>
          <w:numId w:val="5"/>
        </w:numPr>
        <w:spacing w:line="276" w:lineRule="auto"/>
        <w:jc w:val="both"/>
      </w:pPr>
      <w:r>
        <w:t>P</w:t>
      </w:r>
      <w:r w:rsidR="00C556FD">
        <w:t>rawo do życia,</w:t>
      </w:r>
    </w:p>
    <w:p w14:paraId="723E0320" w14:textId="77777777" w:rsidR="00C556FD" w:rsidRDefault="00BE3C01" w:rsidP="00C556FD">
      <w:pPr>
        <w:pStyle w:val="Akapitzlist"/>
        <w:numPr>
          <w:ilvl w:val="0"/>
          <w:numId w:val="5"/>
        </w:numPr>
        <w:spacing w:line="276" w:lineRule="auto"/>
        <w:jc w:val="both"/>
      </w:pPr>
      <w:r>
        <w:t>P</w:t>
      </w:r>
      <w:r w:rsidR="00C556FD">
        <w:t>rawo równego dostępu do świadczeń gwarantowanych,</w:t>
      </w:r>
    </w:p>
    <w:p w14:paraId="500AD15E" w14:textId="77777777" w:rsidR="00C556FD" w:rsidRDefault="00C556FD" w:rsidP="00A36449">
      <w:pPr>
        <w:spacing w:line="276" w:lineRule="auto"/>
        <w:jc w:val="both"/>
      </w:pPr>
    </w:p>
    <w:p w14:paraId="39F2888B" w14:textId="77AA9EF8" w:rsidR="00DD4A20" w:rsidRPr="0039202D" w:rsidRDefault="00DD4A20" w:rsidP="00655C86">
      <w:pPr>
        <w:pStyle w:val="Akapitzlist"/>
        <w:numPr>
          <w:ilvl w:val="0"/>
          <w:numId w:val="2"/>
        </w:numPr>
        <w:spacing w:line="276" w:lineRule="auto"/>
        <w:jc w:val="both"/>
      </w:pPr>
      <w:r w:rsidRPr="0039202D">
        <w:rPr>
          <w:i/>
        </w:rPr>
        <w:t>ustawie o prawach pacjenta i Rzeczniku Praw Pacjenta</w:t>
      </w:r>
      <w:r w:rsidR="0039202D">
        <w:rPr>
          <w:i/>
        </w:rPr>
        <w:t>:</w:t>
      </w:r>
    </w:p>
    <w:p w14:paraId="7D3F1236" w14:textId="77777777" w:rsidR="0039202D" w:rsidRDefault="0039202D" w:rsidP="0039202D">
      <w:pPr>
        <w:pStyle w:val="Akapitzlist"/>
        <w:spacing w:line="276" w:lineRule="auto"/>
        <w:jc w:val="both"/>
      </w:pPr>
    </w:p>
    <w:p w14:paraId="286D1E47" w14:textId="77777777" w:rsidR="00DD4A20" w:rsidRDefault="00F1073F" w:rsidP="00DD4A20">
      <w:pPr>
        <w:pStyle w:val="Akapitzlist"/>
        <w:numPr>
          <w:ilvl w:val="0"/>
          <w:numId w:val="1"/>
        </w:numPr>
        <w:spacing w:line="276" w:lineRule="auto"/>
        <w:jc w:val="both"/>
      </w:pPr>
      <w:r>
        <w:t>Prawo pacjenta do świadczeń zdrowotnych</w:t>
      </w:r>
    </w:p>
    <w:p w14:paraId="7D2F6534" w14:textId="77777777" w:rsidR="00F1073F" w:rsidRDefault="00F1073F" w:rsidP="00DD4A20">
      <w:pPr>
        <w:pStyle w:val="Akapitzlist"/>
        <w:numPr>
          <w:ilvl w:val="0"/>
          <w:numId w:val="1"/>
        </w:numPr>
        <w:spacing w:line="276" w:lineRule="auto"/>
        <w:jc w:val="both"/>
      </w:pPr>
      <w:r>
        <w:t>Prawo pacjenta do informacji</w:t>
      </w:r>
    </w:p>
    <w:p w14:paraId="1E4A6CCF" w14:textId="77777777" w:rsidR="00F1073F" w:rsidRDefault="00F1073F" w:rsidP="00DD4A20">
      <w:pPr>
        <w:pStyle w:val="Akapitzlist"/>
        <w:numPr>
          <w:ilvl w:val="0"/>
          <w:numId w:val="1"/>
        </w:numPr>
        <w:spacing w:line="276" w:lineRule="auto"/>
        <w:jc w:val="both"/>
      </w:pPr>
      <w:r>
        <w:t>Prawo pacjenta do zgłaszania działań niepożądanych produktów leczniczych</w:t>
      </w:r>
    </w:p>
    <w:p w14:paraId="283D10DA" w14:textId="77777777" w:rsidR="00F1073F" w:rsidRDefault="00F1073F" w:rsidP="00DD4A20">
      <w:pPr>
        <w:pStyle w:val="Akapitzlist"/>
        <w:numPr>
          <w:ilvl w:val="0"/>
          <w:numId w:val="1"/>
        </w:numPr>
        <w:spacing w:line="276" w:lineRule="auto"/>
        <w:jc w:val="both"/>
      </w:pPr>
      <w:r>
        <w:t>Prawo pacjenta do tajemnicy informacji z nim związanych</w:t>
      </w:r>
    </w:p>
    <w:p w14:paraId="49BC31E5" w14:textId="77777777" w:rsidR="00F1073F" w:rsidRDefault="00F1073F" w:rsidP="00DD4A20">
      <w:pPr>
        <w:pStyle w:val="Akapitzlist"/>
        <w:numPr>
          <w:ilvl w:val="0"/>
          <w:numId w:val="1"/>
        </w:numPr>
        <w:spacing w:line="276" w:lineRule="auto"/>
        <w:jc w:val="both"/>
      </w:pPr>
      <w:r>
        <w:t>Prawo pacjenta do wyrażenia zgody na udzielenie świadczeń zdrowotnych</w:t>
      </w:r>
    </w:p>
    <w:p w14:paraId="53D2E898" w14:textId="77777777" w:rsidR="00F1073F" w:rsidRDefault="00F1073F" w:rsidP="00DD4A20">
      <w:pPr>
        <w:pStyle w:val="Akapitzlist"/>
        <w:numPr>
          <w:ilvl w:val="0"/>
          <w:numId w:val="1"/>
        </w:numPr>
        <w:spacing w:line="276" w:lineRule="auto"/>
        <w:jc w:val="both"/>
      </w:pPr>
      <w:r>
        <w:t>Prawo pacjenta do poszanowania intymności i godności</w:t>
      </w:r>
    </w:p>
    <w:p w14:paraId="5D31F738" w14:textId="77777777" w:rsidR="00F1073F" w:rsidRDefault="00F1073F" w:rsidP="00DD4A20">
      <w:pPr>
        <w:pStyle w:val="Akapitzlist"/>
        <w:numPr>
          <w:ilvl w:val="0"/>
          <w:numId w:val="1"/>
        </w:numPr>
        <w:spacing w:line="276" w:lineRule="auto"/>
        <w:jc w:val="both"/>
      </w:pPr>
      <w:r>
        <w:lastRenderedPageBreak/>
        <w:t>Prawo pacjenta do dokumentacji medycznej</w:t>
      </w:r>
    </w:p>
    <w:p w14:paraId="60E5FDAD" w14:textId="77777777" w:rsidR="00F1073F" w:rsidRDefault="00C556FD" w:rsidP="00DD4A20">
      <w:pPr>
        <w:pStyle w:val="Akapitzlist"/>
        <w:numPr>
          <w:ilvl w:val="0"/>
          <w:numId w:val="1"/>
        </w:numPr>
        <w:spacing w:line="276" w:lineRule="auto"/>
        <w:jc w:val="both"/>
      </w:pPr>
      <w:r>
        <w:t>Prawo pacjenta do poszanowania życia prywatnego i rodzinnego</w:t>
      </w:r>
    </w:p>
    <w:p w14:paraId="7241C9FC" w14:textId="77777777" w:rsidR="00C556FD" w:rsidRDefault="00C556FD" w:rsidP="00DD4A20">
      <w:pPr>
        <w:pStyle w:val="Akapitzlist"/>
        <w:numPr>
          <w:ilvl w:val="0"/>
          <w:numId w:val="1"/>
        </w:numPr>
        <w:spacing w:line="276" w:lineRule="auto"/>
        <w:jc w:val="both"/>
      </w:pPr>
      <w:r>
        <w:t>Prawo pacjenta do opi</w:t>
      </w:r>
      <w:r w:rsidR="00BE3C01">
        <w:t xml:space="preserve">eki duszpasterskiej. </w:t>
      </w:r>
    </w:p>
    <w:p w14:paraId="60EEB737" w14:textId="77777777" w:rsidR="00BE3C01" w:rsidRDefault="00BE3C01" w:rsidP="00BE3C01">
      <w:pPr>
        <w:spacing w:line="276" w:lineRule="auto"/>
        <w:jc w:val="both"/>
      </w:pPr>
    </w:p>
    <w:p w14:paraId="751F8846" w14:textId="77777777" w:rsidR="00533676" w:rsidRDefault="00533676" w:rsidP="00736116">
      <w:pPr>
        <w:pStyle w:val="Nagwek1"/>
        <w:keepNext w:val="0"/>
        <w:keepLines w:val="0"/>
        <w:spacing w:line="276" w:lineRule="auto"/>
      </w:pPr>
      <w:bookmarkStart w:id="4" w:name="_Toc448419455"/>
      <w:r>
        <w:t>Prawo dostępu do świadczeń gwarantowanych.</w:t>
      </w:r>
      <w:bookmarkEnd w:id="4"/>
      <w:r>
        <w:t xml:space="preserve"> </w:t>
      </w:r>
    </w:p>
    <w:p w14:paraId="63A91A12" w14:textId="5B66086C" w:rsidR="003B55D6" w:rsidRDefault="00665249" w:rsidP="003B55D6">
      <w:pPr>
        <w:spacing w:line="276" w:lineRule="auto"/>
        <w:ind w:firstLine="708"/>
        <w:jc w:val="both"/>
      </w:pPr>
      <w:r>
        <w:t xml:space="preserve">Prawo równego dostępu do świadczeń gwarantowanych jest prawem konstytucyjnym zawartym w przepisie art. 68 ust. 2 </w:t>
      </w:r>
      <w:r>
        <w:rPr>
          <w:i/>
        </w:rPr>
        <w:t>Konstytucji Rzeczypospolitej Polskiej</w:t>
      </w:r>
      <w:r>
        <w:t xml:space="preserve">. Zgodnie z którym każdy ma prawo równego dostępu do świadczeń opieki zdrowotnej finansowanych </w:t>
      </w:r>
      <w:r>
        <w:br/>
        <w:t xml:space="preserve">ze środków publicznych na zasadach wskazanych w ustawie. </w:t>
      </w:r>
      <w:r w:rsidR="00DA2B93">
        <w:t xml:space="preserve">Powstaje zatem pytanie </w:t>
      </w:r>
      <w:r w:rsidR="00B508BA">
        <w:t>j</w:t>
      </w:r>
      <w:r w:rsidR="00DA2B93">
        <w:t>akie zatem świadczenia są świadczeniami gwarantowanymi?</w:t>
      </w:r>
      <w:r w:rsidR="00BE47AC">
        <w:t xml:space="preserve"> </w:t>
      </w:r>
      <w:r w:rsidR="00DA2B93">
        <w:t xml:space="preserve">Zgodnie z </w:t>
      </w:r>
      <w:r w:rsidR="00DA2B93" w:rsidRPr="00113D9D">
        <w:rPr>
          <w:i/>
        </w:rPr>
        <w:t>ustawą o świadczeniach opieki zdrowotnej finansowanych ze środków publicznych</w:t>
      </w:r>
      <w:r w:rsidR="00DA2B93">
        <w:t xml:space="preserve"> </w:t>
      </w:r>
      <w:r w:rsidR="00DA2B93" w:rsidRPr="00DA2B93">
        <w:rPr>
          <w:b/>
        </w:rPr>
        <w:t xml:space="preserve">pojęcie świadczenie gwarantowane obejmuje </w:t>
      </w:r>
      <w:r w:rsidR="00113D9D">
        <w:rPr>
          <w:b/>
        </w:rPr>
        <w:t xml:space="preserve">wszystkie </w:t>
      </w:r>
      <w:r w:rsidR="00113D9D" w:rsidRPr="00113D9D">
        <w:rPr>
          <w:b/>
        </w:rPr>
        <w:t xml:space="preserve">świadczenia służące profilaktyce, zachowaniu, ratowaniu, przywracaniu lub poprawie zdrowia oraz inne działanie medyczne wynikające z procesu leczenia lub przepisów odrębnych regulujących zasady ich udzielania, finansowane w całości </w:t>
      </w:r>
      <w:r w:rsidR="00113D9D">
        <w:rPr>
          <w:b/>
        </w:rPr>
        <w:br/>
      </w:r>
      <w:r w:rsidR="00113D9D" w:rsidRPr="00113D9D">
        <w:rPr>
          <w:b/>
        </w:rPr>
        <w:t xml:space="preserve">lub współfinansowane ze środków publicznych na zasadach i w zakresie określonych </w:t>
      </w:r>
      <w:r w:rsidR="00113D9D">
        <w:rPr>
          <w:b/>
        </w:rPr>
        <w:br/>
      </w:r>
      <w:r w:rsidR="00113D9D" w:rsidRPr="00113D9D">
        <w:rPr>
          <w:b/>
        </w:rPr>
        <w:t xml:space="preserve">w ustawie. </w:t>
      </w:r>
      <w:r w:rsidR="00005F7F">
        <w:t xml:space="preserve">Katalog świadczeń gwarantowanych jest określony w </w:t>
      </w:r>
      <w:r w:rsidR="00005F7F" w:rsidRPr="003364A1">
        <w:rPr>
          <w:b/>
        </w:rPr>
        <w:t>art. 15</w:t>
      </w:r>
      <w:r w:rsidR="00005F7F">
        <w:t xml:space="preserve"> </w:t>
      </w:r>
      <w:r w:rsidR="00005F7F" w:rsidRPr="00B508BA">
        <w:rPr>
          <w:i/>
        </w:rPr>
        <w:t xml:space="preserve">ustawy </w:t>
      </w:r>
      <w:r w:rsidR="00B508BA" w:rsidRPr="00B508BA">
        <w:rPr>
          <w:i/>
        </w:rPr>
        <w:t>o świadczeniach opieki zdrowotnej finansowanych ze środków publicznych</w:t>
      </w:r>
      <w:r w:rsidR="00B508BA">
        <w:t xml:space="preserve"> </w:t>
      </w:r>
      <w:r w:rsidR="00005F7F">
        <w:t>i obejmuje</w:t>
      </w:r>
      <w:r w:rsidR="003B55D6">
        <w:t xml:space="preserve"> świadczenia z następującego zakresu</w:t>
      </w:r>
      <w:r w:rsidR="00005F7F">
        <w:t xml:space="preserve">: </w:t>
      </w:r>
    </w:p>
    <w:p w14:paraId="3F4F4094" w14:textId="77777777" w:rsidR="003B55D6" w:rsidRDefault="00005F7F" w:rsidP="003B55D6">
      <w:pPr>
        <w:pStyle w:val="Akapitzlist"/>
        <w:numPr>
          <w:ilvl w:val="0"/>
          <w:numId w:val="6"/>
        </w:numPr>
        <w:spacing w:line="276" w:lineRule="auto"/>
        <w:jc w:val="both"/>
      </w:pPr>
      <w:r w:rsidRPr="003B55D6">
        <w:rPr>
          <w:b/>
        </w:rPr>
        <w:t>podstawowej opieki zdrowotnej</w:t>
      </w:r>
      <w:r>
        <w:t xml:space="preserve">, </w:t>
      </w:r>
    </w:p>
    <w:p w14:paraId="22244E30" w14:textId="77777777" w:rsidR="003B55D6" w:rsidRDefault="00005F7F" w:rsidP="003B55D6">
      <w:pPr>
        <w:pStyle w:val="Akapitzlist"/>
        <w:numPr>
          <w:ilvl w:val="0"/>
          <w:numId w:val="6"/>
        </w:numPr>
        <w:spacing w:line="276" w:lineRule="auto"/>
        <w:jc w:val="both"/>
      </w:pPr>
      <w:r w:rsidRPr="003B55D6">
        <w:rPr>
          <w:b/>
        </w:rPr>
        <w:t>ambulatoryjnej opieki specjalistycznej</w:t>
      </w:r>
      <w:r>
        <w:t xml:space="preserve">, </w:t>
      </w:r>
    </w:p>
    <w:p w14:paraId="3747076B" w14:textId="77777777" w:rsidR="003B55D6" w:rsidRPr="0039202D" w:rsidRDefault="00005F7F" w:rsidP="003B55D6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39202D">
        <w:rPr>
          <w:b/>
        </w:rPr>
        <w:t xml:space="preserve">leczenia szpitalnego, </w:t>
      </w:r>
    </w:p>
    <w:p w14:paraId="4AA0D923" w14:textId="77777777" w:rsidR="003B55D6" w:rsidRDefault="00005F7F" w:rsidP="003B55D6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opieki psychiatrycznej i leczenia uzależnień, </w:t>
      </w:r>
    </w:p>
    <w:p w14:paraId="62A9D0E4" w14:textId="77777777" w:rsidR="003B55D6" w:rsidRDefault="00005F7F" w:rsidP="003B55D6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rehabilitacji leczniczej, </w:t>
      </w:r>
    </w:p>
    <w:p w14:paraId="7D49A3AF" w14:textId="77777777" w:rsidR="003B55D6" w:rsidRDefault="00005F7F" w:rsidP="003B55D6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świadczeń pielęgnacyjnych i opiekuńczych w ramach opieki długoterminowej, </w:t>
      </w:r>
    </w:p>
    <w:p w14:paraId="23BD9767" w14:textId="77777777" w:rsidR="003B55D6" w:rsidRDefault="00005F7F" w:rsidP="003B55D6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leczenia stomatologicznego, lecznictwa uzdrowiskowego, </w:t>
      </w:r>
    </w:p>
    <w:p w14:paraId="58532C1B" w14:textId="129E7A93" w:rsidR="003B55D6" w:rsidRDefault="00005F7F" w:rsidP="003B55D6">
      <w:pPr>
        <w:pStyle w:val="Akapitzlist"/>
        <w:numPr>
          <w:ilvl w:val="0"/>
          <w:numId w:val="6"/>
        </w:numPr>
        <w:spacing w:line="276" w:lineRule="auto"/>
        <w:jc w:val="both"/>
      </w:pPr>
      <w:r>
        <w:t>zaopatrzenia w wyroby medyczne, na zlecenie osoby</w:t>
      </w:r>
      <w:r w:rsidR="003B55D6">
        <w:t xml:space="preserve"> uprawnionej, oraz ich naprawy, </w:t>
      </w:r>
      <w:r>
        <w:t xml:space="preserve">o których mowa w ustawie o refundacji, </w:t>
      </w:r>
    </w:p>
    <w:p w14:paraId="64D106E2" w14:textId="77777777" w:rsidR="003B55D6" w:rsidRDefault="00005F7F" w:rsidP="003B55D6">
      <w:pPr>
        <w:pStyle w:val="Akapitzlist"/>
        <w:numPr>
          <w:ilvl w:val="0"/>
          <w:numId w:val="6"/>
        </w:numPr>
        <w:spacing w:line="276" w:lineRule="auto"/>
        <w:jc w:val="both"/>
      </w:pPr>
      <w:r>
        <w:t>ratownictwa medycznego, o</w:t>
      </w:r>
      <w:r w:rsidR="003B55D6">
        <w:t xml:space="preserve">pieki paliatywnej i hospicyjnej, </w:t>
      </w:r>
    </w:p>
    <w:p w14:paraId="5F57AF48" w14:textId="77777777" w:rsidR="003B55D6" w:rsidRPr="003B55D6" w:rsidRDefault="00005F7F" w:rsidP="003B55D6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3B55D6">
        <w:rPr>
          <w:b/>
        </w:rPr>
        <w:t>św</w:t>
      </w:r>
      <w:r w:rsidR="003B55D6" w:rsidRPr="003B55D6">
        <w:rPr>
          <w:b/>
        </w:rPr>
        <w:t xml:space="preserve">iadczeń wysokospecjalistycznych, </w:t>
      </w:r>
    </w:p>
    <w:p w14:paraId="1D8B0BDF" w14:textId="77777777" w:rsidR="003B55D6" w:rsidRDefault="003B55D6" w:rsidP="003B55D6">
      <w:pPr>
        <w:pStyle w:val="Akapitzlist"/>
        <w:numPr>
          <w:ilvl w:val="0"/>
          <w:numId w:val="6"/>
        </w:numPr>
        <w:spacing w:line="276" w:lineRule="auto"/>
        <w:jc w:val="both"/>
      </w:pPr>
      <w:r w:rsidRPr="003B55D6">
        <w:rPr>
          <w:b/>
        </w:rPr>
        <w:t>programów zdrowotnych</w:t>
      </w:r>
      <w:r>
        <w:t xml:space="preserve">, </w:t>
      </w:r>
    </w:p>
    <w:p w14:paraId="651D0DDC" w14:textId="77777777" w:rsidR="003B55D6" w:rsidRDefault="00005F7F" w:rsidP="003B55D6">
      <w:pPr>
        <w:pStyle w:val="Akapitzlist"/>
        <w:numPr>
          <w:ilvl w:val="0"/>
          <w:numId w:val="6"/>
        </w:numPr>
        <w:spacing w:line="276" w:lineRule="auto"/>
        <w:jc w:val="both"/>
      </w:pPr>
      <w:r>
        <w:t>leków, środków spożywczych specjalnego przeznaczenia żywieniowego oraz wyrobów medycznych dostępnych w aptece na recep</w:t>
      </w:r>
      <w:r w:rsidR="003B55D6">
        <w:t xml:space="preserve">tę, </w:t>
      </w:r>
    </w:p>
    <w:p w14:paraId="20ADC0DC" w14:textId="77777777" w:rsidR="003B55D6" w:rsidRDefault="00005F7F" w:rsidP="003B55D6">
      <w:pPr>
        <w:pStyle w:val="Akapitzlist"/>
        <w:numPr>
          <w:ilvl w:val="0"/>
          <w:numId w:val="6"/>
        </w:numPr>
        <w:spacing w:line="276" w:lineRule="auto"/>
        <w:jc w:val="both"/>
      </w:pPr>
      <w:r w:rsidRPr="008D1F41">
        <w:rPr>
          <w:b/>
        </w:rPr>
        <w:t>programów lekowych określonych w przepisach ustawy o refundacji</w:t>
      </w:r>
      <w:r w:rsidR="003B55D6">
        <w:t xml:space="preserve">, </w:t>
      </w:r>
    </w:p>
    <w:p w14:paraId="546A077C" w14:textId="77777777" w:rsidR="003B55D6" w:rsidRPr="008D1F41" w:rsidRDefault="003B55D6" w:rsidP="003B55D6">
      <w:pPr>
        <w:pStyle w:val="Akapitzlist"/>
        <w:numPr>
          <w:ilvl w:val="0"/>
          <w:numId w:val="6"/>
        </w:numPr>
        <w:spacing w:line="276" w:lineRule="auto"/>
        <w:jc w:val="both"/>
        <w:rPr>
          <w:b/>
        </w:rPr>
      </w:pPr>
      <w:r w:rsidRPr="008D1F41">
        <w:rPr>
          <w:b/>
        </w:rPr>
        <w:t>l</w:t>
      </w:r>
      <w:r w:rsidR="00005F7F" w:rsidRPr="008D1F41">
        <w:rPr>
          <w:b/>
        </w:rPr>
        <w:t>eków stosowanych w chemioterapii określonych w</w:t>
      </w:r>
      <w:r w:rsidRPr="008D1F41">
        <w:rPr>
          <w:b/>
        </w:rPr>
        <w:t xml:space="preserve"> przepisach ustawy o refundacji,</w:t>
      </w:r>
    </w:p>
    <w:p w14:paraId="42BB5997" w14:textId="1DCE8ADB" w:rsidR="00113D9D" w:rsidRDefault="00005F7F" w:rsidP="003B55D6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leków nieposiadających pozwolenia na dopuszczenie do obrotu na terytorium Rzeczypospolitej Polskiej, sprowadzanych z zagranicy na warunkach i w trybie określonym w art. 4 </w:t>
      </w:r>
      <w:r w:rsidRPr="002456A6">
        <w:rPr>
          <w:i/>
        </w:rPr>
        <w:t>ustawy z dnia 6 września 2001 r. - Prawo farmaceutyczne</w:t>
      </w:r>
      <w:r>
        <w:t xml:space="preserve">, pod warunkiem że w stosunku do tych leków wydano decyzję o objęciu </w:t>
      </w:r>
      <w:r>
        <w:lastRenderedPageBreak/>
        <w:t>refundacją n</w:t>
      </w:r>
      <w:r w:rsidR="003B55D6">
        <w:t xml:space="preserve">a podstawie ustawy o refundacji, </w:t>
      </w:r>
      <w:r>
        <w:t xml:space="preserve">środków spożywczych specjalnego przeznaczenia żywieniowego, sprowadzonych z zagranicy na warunkach i w trybie określonym w art. 29a </w:t>
      </w:r>
      <w:r w:rsidRPr="00B508BA">
        <w:rPr>
          <w:i/>
        </w:rPr>
        <w:t>ustawy z dnia 25 sierpnia 2006 r. o bezpieczeństwie żywności i żywienia</w:t>
      </w:r>
      <w:r>
        <w:t>, pod warunkiem, że w stosunku do tych środków wydano decyzję o objęciu refundacją na podstawie ustawy o refundacji.</w:t>
      </w:r>
      <w:r w:rsidR="003C6179">
        <w:t xml:space="preserve"> </w:t>
      </w:r>
    </w:p>
    <w:p w14:paraId="3C360CC9" w14:textId="77777777" w:rsidR="008D1F41" w:rsidRDefault="008D1F41" w:rsidP="008D1F41">
      <w:pPr>
        <w:spacing w:line="276" w:lineRule="auto"/>
        <w:jc w:val="both"/>
      </w:pPr>
    </w:p>
    <w:p w14:paraId="2C0BE3A9" w14:textId="0CCD4926" w:rsidR="003364A1" w:rsidRPr="00B508BA" w:rsidRDefault="003364A1" w:rsidP="003364A1">
      <w:pPr>
        <w:spacing w:line="276" w:lineRule="auto"/>
        <w:jc w:val="both"/>
        <w:rPr>
          <w:i/>
        </w:rPr>
      </w:pPr>
      <w:r>
        <w:t xml:space="preserve">Trzeba w tym miejscu podkreślić, że pacjent zgodnie z przepisami </w:t>
      </w:r>
      <w:r w:rsidRPr="00B508BA">
        <w:rPr>
          <w:i/>
        </w:rPr>
        <w:t>ustawy o prawach pacjenta</w:t>
      </w:r>
    </w:p>
    <w:p w14:paraId="5F299FE3" w14:textId="77777777" w:rsidR="003364A1" w:rsidRDefault="003364A1" w:rsidP="003364A1">
      <w:pPr>
        <w:spacing w:line="276" w:lineRule="auto"/>
        <w:jc w:val="both"/>
      </w:pPr>
      <w:r w:rsidRPr="00B508BA">
        <w:rPr>
          <w:i/>
        </w:rPr>
        <w:t xml:space="preserve"> i Rzeczniku Praw Pacjenta</w:t>
      </w:r>
      <w:r>
        <w:t>, ma prawo do :</w:t>
      </w:r>
    </w:p>
    <w:p w14:paraId="5AE7AAF8" w14:textId="0809EE24" w:rsidR="003364A1" w:rsidRPr="00855E12" w:rsidRDefault="003364A1" w:rsidP="003364A1">
      <w:pPr>
        <w:pStyle w:val="Akapitzlist"/>
        <w:numPr>
          <w:ilvl w:val="0"/>
          <w:numId w:val="9"/>
        </w:numPr>
        <w:spacing w:line="276" w:lineRule="auto"/>
        <w:ind w:left="1418"/>
        <w:jc w:val="both"/>
        <w:rPr>
          <w:b/>
        </w:rPr>
      </w:pPr>
      <w:r w:rsidRPr="00855E12">
        <w:rPr>
          <w:b/>
        </w:rPr>
        <w:t>świadczeń zdrowotnych odpowiadających wymaganiom aktualnej wiedzy medycznej,</w:t>
      </w:r>
    </w:p>
    <w:p w14:paraId="0496CE54" w14:textId="253F9921" w:rsidR="003364A1" w:rsidRPr="00855E12" w:rsidRDefault="003364A1" w:rsidP="003364A1">
      <w:pPr>
        <w:pStyle w:val="Akapitzlist"/>
        <w:numPr>
          <w:ilvl w:val="0"/>
          <w:numId w:val="9"/>
        </w:numPr>
        <w:spacing w:line="276" w:lineRule="auto"/>
        <w:ind w:left="1418"/>
        <w:jc w:val="both"/>
        <w:rPr>
          <w:b/>
        </w:rPr>
      </w:pPr>
      <w:r w:rsidRPr="00855E12">
        <w:rPr>
          <w:b/>
        </w:rPr>
        <w:t>natychmiastowego udzielenia świadczeń zdrowotnych ze względu na zagrożenie zdrowia lub życia,</w:t>
      </w:r>
    </w:p>
    <w:p w14:paraId="019F61AD" w14:textId="0176CF33" w:rsidR="008D1F41" w:rsidRDefault="003364A1" w:rsidP="003364A1">
      <w:pPr>
        <w:pStyle w:val="Akapitzlist"/>
        <w:numPr>
          <w:ilvl w:val="0"/>
          <w:numId w:val="9"/>
        </w:numPr>
        <w:spacing w:line="276" w:lineRule="auto"/>
        <w:ind w:left="1418"/>
        <w:jc w:val="both"/>
      </w:pPr>
      <w:r w:rsidRPr="00855E12">
        <w:rPr>
          <w:b/>
        </w:rPr>
        <w:t>świadczeń zdrowotnych udzielanych z należytą starannością w warunkach odpowiadających określonym w odrębnych przepisach wymaganiom fachowym i sanitarnym</w:t>
      </w:r>
      <w:r>
        <w:t xml:space="preserve">. Przy udzielaniu świadczeń zdrowotnych osoby wykonujące zawód </w:t>
      </w:r>
      <w:r w:rsidRPr="003364A1">
        <w:t>medyczny kierują się zasadami etyki zawodowej określonymi przez właściwe samorządy zawodów medycznych</w:t>
      </w:r>
      <w:r>
        <w:t xml:space="preserve">. </w:t>
      </w:r>
    </w:p>
    <w:p w14:paraId="1AC0C96D" w14:textId="77777777" w:rsidR="00855E12" w:rsidRDefault="00855E12" w:rsidP="00855E12">
      <w:pPr>
        <w:spacing w:line="276" w:lineRule="auto"/>
        <w:jc w:val="both"/>
      </w:pPr>
    </w:p>
    <w:p w14:paraId="0489F944" w14:textId="18146F29" w:rsidR="00855E12" w:rsidRDefault="00855E12" w:rsidP="00855E12">
      <w:pPr>
        <w:spacing w:line="276" w:lineRule="auto"/>
        <w:jc w:val="both"/>
      </w:pPr>
      <w:r>
        <w:t>Jednocześnie prawo pacjenta równego dostępu do świadczeń gwarantowanych jest chronione nałożonym</w:t>
      </w:r>
      <w:r w:rsidR="00B508BA">
        <w:t>i</w:t>
      </w:r>
      <w:r>
        <w:t xml:space="preserve"> na osoby udzielające świadczeń zdrowotnych oraz</w:t>
      </w:r>
      <w:r w:rsidR="00B508BA">
        <w:t xml:space="preserve"> podmiot leczniczy zobowiązaniami</w:t>
      </w:r>
      <w:r w:rsidR="00A04B81">
        <w:t>:</w:t>
      </w:r>
    </w:p>
    <w:p w14:paraId="47CFAE19" w14:textId="77777777" w:rsidR="00A04B81" w:rsidRDefault="00855E12" w:rsidP="00A04B81">
      <w:pPr>
        <w:pStyle w:val="Akapitzlist"/>
        <w:numPr>
          <w:ilvl w:val="0"/>
          <w:numId w:val="10"/>
        </w:numPr>
        <w:spacing w:line="276" w:lineRule="auto"/>
        <w:ind w:left="1560"/>
        <w:jc w:val="both"/>
      </w:pPr>
      <w:r w:rsidRPr="00A04B81">
        <w:rPr>
          <w:b/>
        </w:rPr>
        <w:t xml:space="preserve">lekarz ma obowiązek udzielać pomocy lekarskiej w każdym przypadku, gdy zwłoka w jej udzieleniu mogłaby spowodować niebezpieczeństwo utraty życia, ciężkiego uszkodzenia ciała lub ciężkiego rozstroju zdrowia, oraz </w:t>
      </w:r>
      <w:r w:rsidR="00A04B81" w:rsidRPr="00A04B81">
        <w:rPr>
          <w:b/>
        </w:rPr>
        <w:br/>
      </w:r>
      <w:r w:rsidRPr="00A04B81">
        <w:rPr>
          <w:b/>
        </w:rPr>
        <w:t>w innych przypadkach niecierpiących zwłok</w:t>
      </w:r>
      <w:r w:rsidR="00A04B81" w:rsidRPr="00A04B81">
        <w:rPr>
          <w:b/>
        </w:rPr>
        <w:t>i</w:t>
      </w:r>
      <w:r w:rsidR="00A04B81">
        <w:t xml:space="preserve">. </w:t>
      </w:r>
    </w:p>
    <w:p w14:paraId="59D95BD3" w14:textId="0C40C858" w:rsidR="00855E12" w:rsidRDefault="00855E12" w:rsidP="00A04B81">
      <w:pPr>
        <w:pStyle w:val="Akapitzlist"/>
        <w:numPr>
          <w:ilvl w:val="0"/>
          <w:numId w:val="10"/>
        </w:numPr>
        <w:spacing w:line="276" w:lineRule="auto"/>
        <w:ind w:left="1560"/>
        <w:jc w:val="both"/>
      </w:pPr>
      <w:r>
        <w:t xml:space="preserve">pielęgniarka i położna są zobowiązane, zgodnie z posiadanymi kwalifikacjami zawodowymi, do udzielenia pomocy w każdym przypadku, gdy zwłoka w jej udzieleniu mogłaby spowodować stan nagłego zagrożenia zdrowotnego. </w:t>
      </w:r>
    </w:p>
    <w:p w14:paraId="003338D1" w14:textId="5E383CBE" w:rsidR="00855E12" w:rsidRDefault="00855E12" w:rsidP="00A04B81">
      <w:pPr>
        <w:pStyle w:val="Akapitzlist"/>
        <w:numPr>
          <w:ilvl w:val="0"/>
          <w:numId w:val="10"/>
        </w:numPr>
        <w:spacing w:line="276" w:lineRule="auto"/>
        <w:ind w:left="1560"/>
        <w:jc w:val="both"/>
        <w:rPr>
          <w:b/>
        </w:rPr>
      </w:pPr>
      <w:r w:rsidRPr="00A04B81">
        <w:rPr>
          <w:b/>
        </w:rPr>
        <w:t xml:space="preserve">podmiot leczniczy nie może odmówić udzielenia świadczenia zdrowotnego osobie, która potrzebuje natychmiastowego udzielenia takiego świadczenia ze względu na zagrożenie życia lub zdrowia. </w:t>
      </w:r>
    </w:p>
    <w:p w14:paraId="2E7F3890" w14:textId="77777777" w:rsidR="00A04B81" w:rsidRDefault="00A04B81" w:rsidP="00A04B81">
      <w:pPr>
        <w:spacing w:line="276" w:lineRule="auto"/>
        <w:jc w:val="both"/>
        <w:rPr>
          <w:b/>
        </w:rPr>
      </w:pPr>
    </w:p>
    <w:p w14:paraId="0CEF10CF" w14:textId="4C1BD534" w:rsidR="00A04B81" w:rsidRDefault="00A04B81" w:rsidP="00A04B81">
      <w:pPr>
        <w:spacing w:line="276" w:lineRule="auto"/>
        <w:jc w:val="both"/>
      </w:pPr>
      <w:r>
        <w:t xml:space="preserve">W powyższym kontekście pojawia się praktyczne pytanie: </w:t>
      </w:r>
      <w:r w:rsidRPr="00A15CB1">
        <w:rPr>
          <w:b/>
        </w:rPr>
        <w:t xml:space="preserve">Czy podmiot leczniczy ma prawo odmówić </w:t>
      </w:r>
      <w:r w:rsidR="00E56044" w:rsidRPr="00A15CB1">
        <w:rPr>
          <w:b/>
        </w:rPr>
        <w:t>pacjentowi leczenia w sytuacji przekroczenia limitu zawartej z NFZ umowy?</w:t>
      </w:r>
      <w:r w:rsidR="00E56044">
        <w:t xml:space="preserve"> </w:t>
      </w:r>
      <w:r w:rsidR="00164B09">
        <w:br/>
      </w:r>
      <w:r w:rsidR="00A15CB1">
        <w:t xml:space="preserve">W przypadkach zagrożenia życia i zdrowia zarówno lekarz jak i podmiot leczniczy ma obowiązek udzielić pacjentowi pomocy, obowiązek ten ma charakter wyprzedzający </w:t>
      </w:r>
      <w:r w:rsidR="009A4F31">
        <w:br/>
      </w:r>
      <w:r w:rsidR="00A15CB1">
        <w:t>w stosunku do umowy zawartej z płatnikiem. Oznacza to, że limit umowy z NFZ nie może uzasadniać odmowy leczenia pacjentowi w stanie zagrożenia życia lub zdrowia.</w:t>
      </w:r>
      <w:r w:rsidR="00BE47AC">
        <w:t xml:space="preserve"> </w:t>
      </w:r>
    </w:p>
    <w:p w14:paraId="3244DD82" w14:textId="32905F9D" w:rsidR="009A4F31" w:rsidRDefault="002F5411" w:rsidP="00164B09">
      <w:pPr>
        <w:spacing w:line="276" w:lineRule="auto"/>
        <w:jc w:val="both"/>
        <w:rPr>
          <w:i/>
        </w:rPr>
      </w:pPr>
      <w:r>
        <w:lastRenderedPageBreak/>
        <w:t xml:space="preserve">W tej kwestii stanowisko zajął Sąd Najwyższy wskazując, że </w:t>
      </w:r>
      <w:r w:rsidRPr="002F5411">
        <w:rPr>
          <w:i/>
        </w:rPr>
        <w:t xml:space="preserve">„obowiązek niesienia pomocy występuje we wszystkich wypadkach, w których zwłoka w udzieleniu pomocy lekarskiej mogłaby spowodować określone w tym przepisie skutki, a więc i wtedy, gdy ich zaistnienie mogło i powinno być przez lekarza przewidziane. Oznacza to, że </w:t>
      </w:r>
      <w:r w:rsidRPr="009A4F31">
        <w:rPr>
          <w:b/>
          <w:i/>
        </w:rPr>
        <w:t>w</w:t>
      </w:r>
      <w:r w:rsidRPr="002F5411">
        <w:rPr>
          <w:i/>
        </w:rPr>
        <w:t xml:space="preserve"> </w:t>
      </w:r>
      <w:r w:rsidRPr="00164B09">
        <w:rPr>
          <w:b/>
          <w:i/>
        </w:rPr>
        <w:t xml:space="preserve">kontakcie z pacjentem lekarz zobowiązany jest ocenić nie tylko stan jego zdrowia na podstawie aktualnej diagnozy, ale także w wypadku stwierdzenia zagrożenia rozważyć prawdopodobieństwo jego zwiększenia. Jeśli przewidywany wzrost zagrożenia wskazuje na możliwość zaistnienia skutków wymienionych w art. 30, to, pełniąc funkcję gwaranta, lekarz jest zobowiązany </w:t>
      </w:r>
      <w:r w:rsidR="009A4F31">
        <w:rPr>
          <w:b/>
          <w:i/>
        </w:rPr>
        <w:br/>
      </w:r>
      <w:r w:rsidRPr="00164B09">
        <w:rPr>
          <w:b/>
          <w:i/>
        </w:rPr>
        <w:t>do niezwłocznego udzielenia właściwej pomocy medycznej, chyba że zwłoka w jej udzieleniu nie zmieniłaby stopnia zagrożenia</w:t>
      </w:r>
      <w:r w:rsidRPr="002F5411">
        <w:rPr>
          <w:i/>
        </w:rPr>
        <w:t>. Niespełnienie tych obowiązków przez lekarza narusza art. 30 tej ustawy</w:t>
      </w:r>
      <w:r w:rsidR="00164B09">
        <w:rPr>
          <w:i/>
        </w:rPr>
        <w:t xml:space="preserve">” </w:t>
      </w:r>
      <w:r w:rsidR="00164B09">
        <w:t>[</w:t>
      </w:r>
      <w:r w:rsidR="00164B09" w:rsidRPr="00164B09">
        <w:t>Wyrok Sądu Najwyższego z dnia 27 września 2010 r. sygn. akt: V KK 34/10</w:t>
      </w:r>
      <w:r w:rsidR="009A4F31">
        <w:t>]</w:t>
      </w:r>
      <w:r w:rsidR="00164B09">
        <w:rPr>
          <w:i/>
        </w:rPr>
        <w:t xml:space="preserve">. </w:t>
      </w:r>
    </w:p>
    <w:p w14:paraId="59DE108C" w14:textId="3949FD8F" w:rsidR="00164B09" w:rsidRDefault="00164B09" w:rsidP="009A4F31">
      <w:pPr>
        <w:spacing w:line="276" w:lineRule="auto"/>
        <w:ind w:firstLine="708"/>
        <w:jc w:val="both"/>
      </w:pPr>
      <w:r w:rsidRPr="00164B09">
        <w:t>Ponadto</w:t>
      </w:r>
      <w:r>
        <w:t xml:space="preserve"> </w:t>
      </w:r>
      <w:r>
        <w:rPr>
          <w:i/>
        </w:rPr>
        <w:t>„</w:t>
      </w:r>
      <w:r w:rsidRPr="00164B09">
        <w:rPr>
          <w:b/>
          <w:i/>
        </w:rPr>
        <w:t xml:space="preserve">udzielenie świadczenia zdrowotnego w razie zagrożenia życia albo zdrowia jest własnym ustawowym obowiązkiem świadczeniodawcy będącego podmiotem leczniczym czy lekarzem. Należy jednak podkreślić, że nie wyłączają one obowiązków Narodowego Funduszu Zdrowia wynikających z innych ustaw. Obowiązki wynikające </w:t>
      </w:r>
      <w:r w:rsidR="009A4F31">
        <w:rPr>
          <w:b/>
          <w:i/>
        </w:rPr>
        <w:br/>
      </w:r>
      <w:r w:rsidRPr="00164B09">
        <w:rPr>
          <w:b/>
          <w:i/>
        </w:rPr>
        <w:t xml:space="preserve">z powołanych przepisów art. 7 </w:t>
      </w:r>
      <w:proofErr w:type="spellStart"/>
      <w:r w:rsidRPr="00164B09">
        <w:rPr>
          <w:b/>
          <w:i/>
        </w:rPr>
        <w:t>u.z.o.z</w:t>
      </w:r>
      <w:proofErr w:type="spellEnd"/>
      <w:r w:rsidRPr="00164B09">
        <w:rPr>
          <w:b/>
          <w:i/>
        </w:rPr>
        <w:t>. (obecnie art. 15 ustawy o działalności leczniczej)</w:t>
      </w:r>
      <w:r w:rsidR="00BE47AC">
        <w:rPr>
          <w:b/>
          <w:i/>
        </w:rPr>
        <w:t xml:space="preserve"> </w:t>
      </w:r>
      <w:r w:rsidRPr="00164B09">
        <w:rPr>
          <w:b/>
          <w:i/>
        </w:rPr>
        <w:t>i art. 30 ustawy o zawodzie lekarza i lekarza dentysty mają charakter bezwzględny i wyprzedzają ograniczenia wynikające z umów o świadczenia zdrowotne</w:t>
      </w:r>
      <w:r>
        <w:rPr>
          <w:i/>
        </w:rPr>
        <w:t>”</w:t>
      </w:r>
      <w:r w:rsidR="009A4F31">
        <w:t xml:space="preserve"> [</w:t>
      </w:r>
      <w:r w:rsidR="009A4F31" w:rsidRPr="009A4F31">
        <w:t>Wyrok Sądu Najwyższego z dnia 10 stycznia 2014 r. sygn. akt: I CSK 161/13</w:t>
      </w:r>
      <w:r w:rsidR="009A4F31">
        <w:t xml:space="preserve">]. </w:t>
      </w:r>
    </w:p>
    <w:p w14:paraId="40BB6BA0" w14:textId="77777777" w:rsidR="009A4F31" w:rsidRDefault="009A4F31" w:rsidP="009A4F31">
      <w:pPr>
        <w:spacing w:line="276" w:lineRule="auto"/>
        <w:ind w:firstLine="708"/>
        <w:jc w:val="both"/>
      </w:pPr>
    </w:p>
    <w:p w14:paraId="51C9F970" w14:textId="3E630ABE" w:rsidR="009519F3" w:rsidRDefault="009A4F31" w:rsidP="009519F3">
      <w:pPr>
        <w:spacing w:line="276" w:lineRule="auto"/>
        <w:ind w:firstLine="708"/>
        <w:jc w:val="both"/>
      </w:pPr>
      <w:r>
        <w:t xml:space="preserve">Zatem </w:t>
      </w:r>
      <w:r w:rsidR="009519F3">
        <w:t xml:space="preserve">trzeba podkreślić, że kwalifikacji pacjenta nie może dokonać ani pielęgniarka ani rejestratorka zapisująca pacjenta pacjenta na wizytę. </w:t>
      </w:r>
    </w:p>
    <w:p w14:paraId="4C732E9B" w14:textId="77777777" w:rsidR="009519F3" w:rsidRDefault="009519F3" w:rsidP="009519F3">
      <w:pPr>
        <w:spacing w:line="276" w:lineRule="auto"/>
        <w:ind w:firstLine="708"/>
        <w:jc w:val="both"/>
      </w:pPr>
    </w:p>
    <w:p w14:paraId="6EE3A7C3" w14:textId="6788AF67" w:rsidR="009519F3" w:rsidRPr="00E50814" w:rsidRDefault="009519F3" w:rsidP="009519F3">
      <w:pPr>
        <w:spacing w:line="276" w:lineRule="auto"/>
        <w:ind w:firstLine="708"/>
        <w:jc w:val="both"/>
        <w:rPr>
          <w:b/>
        </w:rPr>
      </w:pPr>
      <w:r w:rsidRPr="002D6F81">
        <w:rPr>
          <w:b/>
        </w:rPr>
        <w:t>Takiej kwalifikacji może dokonać wyłącznie lekarz, tylko lekarz ma kompetencje do oceny: stanu zdrowia pacjenta, rokowania co do dalszego przebiegu choroby, chorób współistniejących mających wpływ na chorobę z powodu którego ma być udzielone świadczenie jaki zagrożenia wystąpienia, utrwalenia lub pogłębienia niesprawności.</w:t>
      </w:r>
      <w:r w:rsidR="00BE47AC">
        <w:rPr>
          <w:b/>
        </w:rPr>
        <w:t xml:space="preserve"> </w:t>
      </w:r>
      <w:r>
        <w:t xml:space="preserve">Lekarz jest zobowiązany ocenić nie tylko stan zdrowia pacjenta, ale także w wypadku stwierdzenia zagrożenia rozważyć prawdopodobieństwo jego zwiększenia. </w:t>
      </w:r>
      <w:r w:rsidRPr="00E50814">
        <w:rPr>
          <w:b/>
        </w:rPr>
        <w:t xml:space="preserve">W przypadku stwierdzenia zagrożenia zdrowia świadczenie powinno być pacjentowi udzielone bez względu na limit świadczeń i kolejkę osób oczekujących. Wskazany obowiązek dotyczy również osób działających w imieniu i na rzecz lekarza lub podmiotu leczniczego. Osoby te powinny zapewnić bezpośredni kontakt z lekarzem. </w:t>
      </w:r>
    </w:p>
    <w:p w14:paraId="119ACCD7" w14:textId="77777777" w:rsidR="009519F3" w:rsidRDefault="009519F3" w:rsidP="009519F3">
      <w:pPr>
        <w:spacing w:line="276" w:lineRule="auto"/>
        <w:ind w:firstLine="708"/>
        <w:jc w:val="both"/>
      </w:pPr>
    </w:p>
    <w:p w14:paraId="7CB37205" w14:textId="0B2A321D" w:rsidR="002D6F81" w:rsidRDefault="002D6F81" w:rsidP="002D6F81">
      <w:pPr>
        <w:pStyle w:val="Nagwek1"/>
      </w:pPr>
      <w:bookmarkStart w:id="5" w:name="_Toc448419456"/>
      <w:r>
        <w:t>Lek jako świadczenie gwarantowane.</w:t>
      </w:r>
      <w:bookmarkEnd w:id="5"/>
      <w:r>
        <w:t xml:space="preserve"> </w:t>
      </w:r>
    </w:p>
    <w:p w14:paraId="7AB10AE0" w14:textId="77777777" w:rsidR="009519F3" w:rsidRDefault="009519F3" w:rsidP="009519F3">
      <w:pPr>
        <w:spacing w:line="276" w:lineRule="auto"/>
        <w:ind w:firstLine="708"/>
        <w:jc w:val="both"/>
      </w:pPr>
    </w:p>
    <w:p w14:paraId="13C449E7" w14:textId="7D757462" w:rsidR="002D6F81" w:rsidRDefault="002D6F81" w:rsidP="002D6F81">
      <w:pPr>
        <w:spacing w:line="276" w:lineRule="auto"/>
        <w:ind w:firstLine="708"/>
        <w:jc w:val="both"/>
      </w:pPr>
      <w:r>
        <w:t xml:space="preserve">Poprawne rozumienie pojęcia „leku jako świadczenia gwarantowanego” ma praktyczne znaczenie w przypadkach zmiany stosowanego dotychczas leku na inny lek zawierający tę samą substancję czynną. </w:t>
      </w:r>
    </w:p>
    <w:p w14:paraId="6C53EF0B" w14:textId="64D4B9DF" w:rsidR="002D6F81" w:rsidRDefault="002D6F81" w:rsidP="002D6F81">
      <w:pPr>
        <w:spacing w:line="276" w:lineRule="auto"/>
        <w:ind w:firstLine="708"/>
        <w:jc w:val="both"/>
      </w:pPr>
      <w:r>
        <w:lastRenderedPageBreak/>
        <w:t xml:space="preserve">Przede wszystkim należy podkreślić, że to które leki i w jakim zakresie stanowią świadczenia gwarantowane określa Minister Zdrowia w drodze obwieszczenia </w:t>
      </w:r>
      <w:r w:rsidR="00C07247">
        <w:t xml:space="preserve">określając </w:t>
      </w:r>
      <w:r>
        <w:t>wykaz leków refundowanych.</w:t>
      </w:r>
      <w:r w:rsidR="00E50814">
        <w:rPr>
          <w:rStyle w:val="Odwoanieprzypisudolnego"/>
        </w:rPr>
        <w:footnoteReference w:id="1"/>
      </w:r>
      <w:r>
        <w:t xml:space="preserve"> Wykaz leków refundowanych obejmuje konkretne leki którym przyznano decyzje o refundacji poprzez wskazanie:</w:t>
      </w:r>
    </w:p>
    <w:p w14:paraId="6B0667D0" w14:textId="1DFECF29" w:rsidR="002D6F81" w:rsidRDefault="002D6F81" w:rsidP="002D6F81">
      <w:pPr>
        <w:pStyle w:val="Akapitzlist"/>
        <w:numPr>
          <w:ilvl w:val="0"/>
          <w:numId w:val="11"/>
        </w:numPr>
        <w:spacing w:line="276" w:lineRule="auto"/>
        <w:ind w:left="1560"/>
        <w:jc w:val="both"/>
      </w:pPr>
      <w:r>
        <w:t>dane identyfikujące lek (nazwę substancji czynnej, nazwę handlową, dawkę, kod EAN)</w:t>
      </w:r>
    </w:p>
    <w:p w14:paraId="3DAF4334" w14:textId="77777777" w:rsidR="002D6F81" w:rsidRDefault="002D6F81" w:rsidP="002D6F81">
      <w:pPr>
        <w:pStyle w:val="Akapitzlist"/>
        <w:numPr>
          <w:ilvl w:val="0"/>
          <w:numId w:val="11"/>
        </w:numPr>
        <w:spacing w:line="276" w:lineRule="auto"/>
        <w:ind w:left="1560"/>
        <w:jc w:val="both"/>
      </w:pPr>
      <w:r>
        <w:t>kategorię dostępności refundacyjnej,</w:t>
      </w:r>
    </w:p>
    <w:p w14:paraId="21A4463B" w14:textId="07B1F5E4" w:rsidR="002D6F81" w:rsidRDefault="002D6F81" w:rsidP="002D6F81">
      <w:pPr>
        <w:pStyle w:val="Akapitzlist"/>
        <w:numPr>
          <w:ilvl w:val="0"/>
          <w:numId w:val="11"/>
        </w:numPr>
        <w:spacing w:line="276" w:lineRule="auto"/>
        <w:ind w:left="1560"/>
        <w:jc w:val="both"/>
      </w:pPr>
      <w:r>
        <w:t>poziom odpłatności,</w:t>
      </w:r>
    </w:p>
    <w:p w14:paraId="36270C64" w14:textId="5132D0B1" w:rsidR="002D6F81" w:rsidRDefault="002D6F81" w:rsidP="002D6F81">
      <w:pPr>
        <w:pStyle w:val="Akapitzlist"/>
        <w:numPr>
          <w:ilvl w:val="0"/>
          <w:numId w:val="11"/>
        </w:numPr>
        <w:spacing w:line="276" w:lineRule="auto"/>
        <w:ind w:left="1560"/>
        <w:jc w:val="both"/>
      </w:pPr>
      <w:r>
        <w:t>urzędową cenę zbytu,</w:t>
      </w:r>
    </w:p>
    <w:p w14:paraId="131332B2" w14:textId="257CFE3A" w:rsidR="002D6F81" w:rsidRDefault="002D6F81" w:rsidP="002D6F81">
      <w:pPr>
        <w:pStyle w:val="Akapitzlist"/>
        <w:numPr>
          <w:ilvl w:val="0"/>
          <w:numId w:val="11"/>
        </w:numPr>
        <w:spacing w:line="276" w:lineRule="auto"/>
        <w:ind w:left="1560"/>
        <w:jc w:val="both"/>
      </w:pPr>
      <w:r>
        <w:t>cenę detaliczną,</w:t>
      </w:r>
    </w:p>
    <w:p w14:paraId="628C8C63" w14:textId="4731CE70" w:rsidR="002D6F81" w:rsidRDefault="002D6F81" w:rsidP="002D6F81">
      <w:pPr>
        <w:pStyle w:val="Akapitzlist"/>
        <w:numPr>
          <w:ilvl w:val="0"/>
          <w:numId w:val="11"/>
        </w:numPr>
        <w:spacing w:line="276" w:lineRule="auto"/>
        <w:ind w:left="1560"/>
        <w:jc w:val="both"/>
      </w:pPr>
      <w:r>
        <w:t>wysokość limitu finansowania dla leku,</w:t>
      </w:r>
    </w:p>
    <w:p w14:paraId="44F294DF" w14:textId="5CC97095" w:rsidR="002D6F81" w:rsidRDefault="002D6F81" w:rsidP="002D6F81">
      <w:pPr>
        <w:pStyle w:val="Akapitzlist"/>
        <w:numPr>
          <w:ilvl w:val="0"/>
          <w:numId w:val="11"/>
        </w:numPr>
        <w:spacing w:line="276" w:lineRule="auto"/>
        <w:ind w:left="1560"/>
        <w:jc w:val="both"/>
      </w:pPr>
      <w:r>
        <w:t>wysokość dopłaty świadczeniobiorcy,</w:t>
      </w:r>
    </w:p>
    <w:p w14:paraId="2945FFDC" w14:textId="156A33D8" w:rsidR="002D6F81" w:rsidRDefault="002D6F81" w:rsidP="002D6F81">
      <w:pPr>
        <w:pStyle w:val="Akapitzlist"/>
        <w:numPr>
          <w:ilvl w:val="0"/>
          <w:numId w:val="11"/>
        </w:numPr>
        <w:spacing w:line="276" w:lineRule="auto"/>
        <w:ind w:left="1560"/>
        <w:jc w:val="both"/>
      </w:pPr>
      <w:r>
        <w:t xml:space="preserve">grupę limitową. </w:t>
      </w:r>
    </w:p>
    <w:p w14:paraId="63B798B5" w14:textId="77777777" w:rsidR="002D6F81" w:rsidRDefault="002D6F81" w:rsidP="002D6F81">
      <w:pPr>
        <w:spacing w:line="276" w:lineRule="auto"/>
        <w:jc w:val="both"/>
      </w:pPr>
    </w:p>
    <w:p w14:paraId="6F4DF05B" w14:textId="22654489" w:rsidR="006D6740" w:rsidRDefault="006D6740" w:rsidP="006D6740">
      <w:pPr>
        <w:spacing w:line="276" w:lineRule="auto"/>
        <w:jc w:val="both"/>
      </w:pPr>
      <w:r>
        <w:t xml:space="preserve">Wykaz leków refundowanych wskazuje konkretne leki, opisane nazwą handlową, które zostały objęte refundacją, a zatem znajdują się w katalogu świadczeń gwarantowanych. Pacjent ma zatem prawo równego dostępu do każdego z leków opisanych nazwą handlową na zasadach wskazanych w ustawie o refundacji. </w:t>
      </w:r>
      <w:r w:rsidR="00C07247">
        <w:t>Trzeba podkreślić, że</w:t>
      </w:r>
      <w:r>
        <w:t xml:space="preserve"> każdy pacjent, który spełnia kryteria stosowania leku objętego refundacją ma prawo </w:t>
      </w:r>
      <w:r w:rsidR="00F7507F">
        <w:t xml:space="preserve">równego </w:t>
      </w:r>
      <w:r>
        <w:t>do</w:t>
      </w:r>
      <w:r w:rsidR="00F7507F">
        <w:t xml:space="preserve">stępu do każdego leku </w:t>
      </w:r>
      <w:r w:rsidR="000F6A2D">
        <w:t xml:space="preserve">zamieszczonego na liście leków refundowanych. </w:t>
      </w:r>
    </w:p>
    <w:p w14:paraId="42F18809" w14:textId="77777777" w:rsidR="006D6740" w:rsidRDefault="006D6740" w:rsidP="006D6740">
      <w:pPr>
        <w:spacing w:line="276" w:lineRule="auto"/>
        <w:jc w:val="both"/>
      </w:pPr>
    </w:p>
    <w:p w14:paraId="61BFD80E" w14:textId="528C7866" w:rsidR="006D6740" w:rsidRPr="00C07247" w:rsidRDefault="006D6740" w:rsidP="006D6740">
      <w:pPr>
        <w:spacing w:line="276" w:lineRule="auto"/>
        <w:jc w:val="both"/>
        <w:rPr>
          <w:b/>
        </w:rPr>
      </w:pPr>
      <w:r w:rsidRPr="00C07247">
        <w:rPr>
          <w:b/>
        </w:rPr>
        <w:t xml:space="preserve">Prawo równego dostępu do świadczeń gwarantowanych </w:t>
      </w:r>
      <w:r w:rsidR="00C07247">
        <w:rPr>
          <w:b/>
        </w:rPr>
        <w:t>w tym leków jest prawem wynikającym</w:t>
      </w:r>
      <w:r w:rsidRPr="00C07247">
        <w:rPr>
          <w:b/>
        </w:rPr>
        <w:t xml:space="preserve"> z </w:t>
      </w:r>
      <w:r w:rsidRPr="00C07247">
        <w:rPr>
          <w:b/>
          <w:i/>
        </w:rPr>
        <w:t>Konstytucji Rzeczypospolitej Polskiej</w:t>
      </w:r>
      <w:r w:rsidR="007201FF">
        <w:rPr>
          <w:b/>
        </w:rPr>
        <w:t xml:space="preserve">, </w:t>
      </w:r>
      <w:r w:rsidRPr="00C07247">
        <w:rPr>
          <w:b/>
        </w:rPr>
        <w:t>ma charakter bezwzględny i nie wolno tego prawa ograniczać.</w:t>
      </w:r>
    </w:p>
    <w:p w14:paraId="3870B881" w14:textId="77777777" w:rsidR="002D6F81" w:rsidRDefault="002D6F81" w:rsidP="002D6F81">
      <w:pPr>
        <w:spacing w:line="276" w:lineRule="auto"/>
        <w:jc w:val="both"/>
      </w:pPr>
    </w:p>
    <w:p w14:paraId="4801A364" w14:textId="77777777" w:rsidR="000F6A2D" w:rsidRDefault="000F6A2D" w:rsidP="00EE73B0">
      <w:pPr>
        <w:spacing w:line="276" w:lineRule="auto"/>
        <w:ind w:firstLine="708"/>
        <w:jc w:val="both"/>
      </w:pPr>
      <w:r>
        <w:t xml:space="preserve">Mając na uwadze zakres świadczeń gwarantowanych jakie ma obowiązek zapewnić świadczeniodawca pacjentowi podczas leczenia szpitalnego powstaje praktyczne pytanie: </w:t>
      </w:r>
    </w:p>
    <w:p w14:paraId="59126D63" w14:textId="71F3B93E" w:rsidR="00EE73B0" w:rsidRPr="007201FF" w:rsidRDefault="000F6A2D" w:rsidP="000F6A2D">
      <w:pPr>
        <w:spacing w:line="276" w:lineRule="auto"/>
        <w:jc w:val="both"/>
        <w:rPr>
          <w:b/>
        </w:rPr>
      </w:pPr>
      <w:r w:rsidRPr="007201FF">
        <w:rPr>
          <w:b/>
        </w:rPr>
        <w:t>czy w czasie hospitalizacji pacjent powinien otrzymać bezpłatnie również leki które musi przyjmować z tytułu schorzeń</w:t>
      </w:r>
      <w:r w:rsidR="007201FF">
        <w:rPr>
          <w:b/>
        </w:rPr>
        <w:t>,</w:t>
      </w:r>
      <w:r w:rsidRPr="007201FF">
        <w:rPr>
          <w:b/>
        </w:rPr>
        <w:t xml:space="preserve"> które nie są przyczyną hospitalizacji? </w:t>
      </w:r>
    </w:p>
    <w:p w14:paraId="6D21F8A2" w14:textId="77777777" w:rsidR="00EE73B0" w:rsidRDefault="00EE73B0" w:rsidP="000F6A2D">
      <w:pPr>
        <w:spacing w:line="276" w:lineRule="auto"/>
        <w:jc w:val="both"/>
      </w:pPr>
    </w:p>
    <w:p w14:paraId="01E61AE2" w14:textId="2E1677B6" w:rsidR="000F6A2D" w:rsidRPr="00EE73B0" w:rsidRDefault="000F6A2D" w:rsidP="000F6A2D">
      <w:pPr>
        <w:spacing w:line="276" w:lineRule="auto"/>
        <w:jc w:val="both"/>
      </w:pPr>
      <w:r>
        <w:t xml:space="preserve">Inaczej formułując pytanie: </w:t>
      </w:r>
      <w:r w:rsidRPr="007201FF">
        <w:t xml:space="preserve">czy pacjent przyjęty na oddział szpitalny w celu przeprowadzenia zabiegu operacyjnego powinien mieć również zapewnione przez szpital leki które stosuje </w:t>
      </w:r>
      <w:r w:rsidR="007201FF">
        <w:br/>
      </w:r>
      <w:r w:rsidRPr="007201FF">
        <w:t>w przebiegu cukrzycy lub nadciśnienia?</w:t>
      </w:r>
      <w:r w:rsidRPr="000F6A2D">
        <w:rPr>
          <w:b/>
        </w:rPr>
        <w:t xml:space="preserve"> </w:t>
      </w:r>
    </w:p>
    <w:p w14:paraId="299854A2" w14:textId="08F7AE31" w:rsidR="000F6A2D" w:rsidRDefault="000F6A2D" w:rsidP="000F6A2D">
      <w:pPr>
        <w:spacing w:line="276" w:lineRule="auto"/>
        <w:jc w:val="both"/>
      </w:pPr>
      <w:r>
        <w:t xml:space="preserve">Podmiot leczniczy ma obowiązek bezpłatnego zapewnienia leków i wyrobów medycznych, jeżeli są one konieczne do udzielenia świadczenia pacjentowi przyjętemu do szpitala lub innego przedsiębiorstwa podmiotu leczniczego oraz przy wykonywaniu zabiegów leczniczych i pielęgnacyjnych, diagnostycznych i rehabilitacyjnych, a także przy udzielaniu pomocy </w:t>
      </w:r>
      <w:r>
        <w:br/>
        <w:t>w stanach nagłych.</w:t>
      </w:r>
      <w:r w:rsidR="003050F6">
        <w:rPr>
          <w:rStyle w:val="Odwoanieprzypisudolnego"/>
        </w:rPr>
        <w:footnoteReference w:id="2"/>
      </w:r>
      <w:r w:rsidR="00BE47AC">
        <w:t xml:space="preserve"> </w:t>
      </w:r>
      <w:r>
        <w:t xml:space="preserve"> Niejednokrotnie zdarza się, że przepis ten jest interpretowany </w:t>
      </w:r>
      <w:r>
        <w:lastRenderedPageBreak/>
        <w:t xml:space="preserve">zawężająco co w konsekwencji oznacza, że pacjent jest zmuszony do korzystania w przebiegu leczenia szpitalnego z własnych leków i własnych wyrobów medycznych. Jednak taka praktyka jest niewłaściwa. </w:t>
      </w:r>
    </w:p>
    <w:p w14:paraId="5D0CF404" w14:textId="24CC3D00" w:rsidR="000F6A2D" w:rsidRPr="003050F6" w:rsidRDefault="000F6A2D" w:rsidP="000F6A2D">
      <w:pPr>
        <w:spacing w:line="276" w:lineRule="auto"/>
        <w:jc w:val="both"/>
      </w:pPr>
      <w:r>
        <w:t xml:space="preserve">Naczelny Sąd Administracyjny wskazuje, że: </w:t>
      </w:r>
      <w:r w:rsidRPr="003050F6">
        <w:rPr>
          <w:i/>
        </w:rPr>
        <w:t>”</w:t>
      </w:r>
      <w:r w:rsidRPr="007201FF">
        <w:rPr>
          <w:b/>
          <w:i/>
        </w:rPr>
        <w:t>Pacjentowi przyjętemu do szpitala przysługuje prawo do bezpłatnych leków koniecznych do wykonania świadczenia, a świadczeniodawca ma obowiązek ich zapewnienia</w:t>
      </w:r>
      <w:r w:rsidRPr="003050F6">
        <w:rPr>
          <w:i/>
        </w:rPr>
        <w:t>. Ta konstatacja wynikająca wprost z art. 35 ustawy (przyp. aut.: ustawy o świadczeniach opieki zdrowotnej finansowanych ze środków publicznych) prowadzi do oczywistego wniosku, że podmiotem uprawnionym do żądania wynagrodzenia za poniesione na pacjenta koszty leczenia szpitalnego, obejmującego również po</w:t>
      </w:r>
      <w:r w:rsidR="003050F6" w:rsidRPr="003050F6">
        <w:rPr>
          <w:i/>
        </w:rPr>
        <w:t>dane leki jest świadczeniodawca</w:t>
      </w:r>
      <w:r w:rsidRPr="003050F6">
        <w:rPr>
          <w:i/>
        </w:rPr>
        <w:t>”</w:t>
      </w:r>
      <w:r w:rsidR="003050F6">
        <w:t xml:space="preserve"> [</w:t>
      </w:r>
      <w:r w:rsidR="003050F6" w:rsidRPr="003050F6">
        <w:t>Wyrok Naczelnego Sądu Administracyjnego z dnia 30 lipca 2013 r. sygn. akt: II GSK 602/12.</w:t>
      </w:r>
      <w:r w:rsidR="003050F6">
        <w:t>]</w:t>
      </w:r>
      <w:r w:rsidR="00BE47AC">
        <w:rPr>
          <w:i/>
        </w:rPr>
        <w:t xml:space="preserve"> </w:t>
      </w:r>
      <w:r w:rsidRPr="003050F6">
        <w:t xml:space="preserve"> </w:t>
      </w:r>
    </w:p>
    <w:p w14:paraId="1A174184" w14:textId="040B9AA6" w:rsidR="000F6A2D" w:rsidRDefault="000F6A2D" w:rsidP="000F6A2D">
      <w:pPr>
        <w:spacing w:line="276" w:lineRule="auto"/>
        <w:jc w:val="both"/>
      </w:pPr>
      <w:r>
        <w:t>Identyczne stanowisko prezentuje Narodowy Fundusz Zdrowia, który wskazuje jednoznacznie, że szpital ma obowiązek zapewnić pacjentowi bezpła</w:t>
      </w:r>
      <w:r w:rsidR="003050F6">
        <w:t xml:space="preserve">tnie leki, nawet te, które nie </w:t>
      </w:r>
      <w:r>
        <w:t xml:space="preserve">są bezpośrednią przyczyną hospitalizacji, ale także te, które są niezbędne dla potrzymania zdrowia i życia pacjenta. </w:t>
      </w:r>
      <w:r w:rsidR="003050F6">
        <w:t>[</w:t>
      </w:r>
      <w:r w:rsidR="003050F6" w:rsidRPr="003050F6">
        <w:t>Pismo NFZ w sprawie interpretacji art. 35 ustawy o świadczeniach opieki zdrowotnej finansowanych ze środków publicznych</w:t>
      </w:r>
      <w:r w:rsidR="00BE47AC">
        <w:t xml:space="preserve"> </w:t>
      </w:r>
      <w:r w:rsidR="003050F6" w:rsidRPr="003050F6">
        <w:t>pismo nr NFZ/CF/DSOZ/2014/073/0246/W/09515/</w:t>
      </w:r>
      <w:proofErr w:type="spellStart"/>
      <w:r w:rsidR="003050F6" w:rsidRPr="003050F6">
        <w:t>JSy</w:t>
      </w:r>
      <w:proofErr w:type="spellEnd"/>
      <w:r w:rsidR="003050F6">
        <w:t>].</w:t>
      </w:r>
      <w:r w:rsidR="007201FF" w:rsidRPr="007201FF">
        <w:t xml:space="preserve"> </w:t>
      </w:r>
      <w:r w:rsidR="007201FF">
        <w:t xml:space="preserve">Należy zwrócić uwagę, że w żadnych ze wspomnianych przypadków nie jest wskazane, że lek ma być najtańszy możliwy, tylko niezbędny. </w:t>
      </w:r>
    </w:p>
    <w:p w14:paraId="529B5B4C" w14:textId="77777777" w:rsidR="000F6A2D" w:rsidRDefault="000F6A2D" w:rsidP="002D6F81">
      <w:pPr>
        <w:spacing w:line="276" w:lineRule="auto"/>
        <w:jc w:val="both"/>
      </w:pPr>
    </w:p>
    <w:p w14:paraId="5342DE9F" w14:textId="10C10AC4" w:rsidR="00533676" w:rsidRDefault="003050F6" w:rsidP="00E50814">
      <w:pPr>
        <w:spacing w:line="276" w:lineRule="auto"/>
        <w:ind w:firstLine="708"/>
        <w:jc w:val="both"/>
        <w:rPr>
          <w:b/>
        </w:rPr>
      </w:pPr>
      <w:r w:rsidRPr="00E50814">
        <w:rPr>
          <w:b/>
        </w:rPr>
        <w:t>Szpital ma obowiązek zapewnić pacjentowi wszystkie leki i wyroby medyczne wynikające z bezpośredniej przyczyny hospitalizacji jak i</w:t>
      </w:r>
      <w:r w:rsidR="00BE47AC">
        <w:rPr>
          <w:b/>
        </w:rPr>
        <w:t xml:space="preserve"> </w:t>
      </w:r>
      <w:r w:rsidRPr="00E50814">
        <w:rPr>
          <w:b/>
        </w:rPr>
        <w:t xml:space="preserve">leki potrzebne dla podtrzymania zdrowia i życia pacjenta wynikające z leczenia schorzeń współistniejących niezależnie </w:t>
      </w:r>
      <w:r w:rsidR="00E50814" w:rsidRPr="00E50814">
        <w:rPr>
          <w:b/>
        </w:rPr>
        <w:br/>
      </w:r>
      <w:r w:rsidRPr="00E50814">
        <w:rPr>
          <w:b/>
        </w:rPr>
        <w:t>od przyczyny hospitalizacji.</w:t>
      </w:r>
      <w:r w:rsidR="00E50814" w:rsidRPr="00E50814">
        <w:rPr>
          <w:b/>
        </w:rPr>
        <w:t xml:space="preserve"> </w:t>
      </w:r>
      <w:r w:rsidRPr="00E50814">
        <w:rPr>
          <w:b/>
        </w:rPr>
        <w:t>Taka wykładnia wynika z orzecznictwa sądowego, jest ona również wskazywana w interpretacji Narodowego Funduszu Zdrowia, oraz przez Rzecznika Praw Pacjenta.</w:t>
      </w:r>
    </w:p>
    <w:p w14:paraId="47EBD1F9" w14:textId="77777777" w:rsidR="00E50814" w:rsidRPr="00E50814" w:rsidRDefault="00E50814" w:rsidP="0061591A">
      <w:pPr>
        <w:spacing w:line="276" w:lineRule="auto"/>
        <w:jc w:val="both"/>
        <w:rPr>
          <w:b/>
        </w:rPr>
      </w:pPr>
    </w:p>
    <w:p w14:paraId="47634D28" w14:textId="77777777" w:rsidR="00533676" w:rsidRDefault="00533676" w:rsidP="00736116">
      <w:pPr>
        <w:pStyle w:val="Nagwek1"/>
        <w:keepNext w:val="0"/>
        <w:keepLines w:val="0"/>
        <w:spacing w:line="276" w:lineRule="auto"/>
      </w:pPr>
      <w:bookmarkStart w:id="6" w:name="_Toc448419457"/>
      <w:r>
        <w:t>Prawo pacjenta do wyrażenia zgody na świadczenie opieki zdrowotnej lub sprzeciwu.</w:t>
      </w:r>
      <w:bookmarkEnd w:id="6"/>
      <w:r>
        <w:t xml:space="preserve"> </w:t>
      </w:r>
    </w:p>
    <w:p w14:paraId="44C45B2A" w14:textId="77777777" w:rsidR="00E50814" w:rsidRDefault="00E50814" w:rsidP="00E50814"/>
    <w:p w14:paraId="2016D1B0" w14:textId="548811F7" w:rsidR="0029069C" w:rsidRDefault="0029069C" w:rsidP="0029069C">
      <w:pPr>
        <w:spacing w:line="276" w:lineRule="auto"/>
        <w:jc w:val="both"/>
      </w:pPr>
      <w:r>
        <w:t>Pacjent ma prawo do wyrażenia lub odmowy zgody na udzielenie mu określonych świadczeń zdrowotnych, w tym na zmianę leczenia, to jest na zmianę udzielanych mu świadczeń zdrowotnych, po uzyskaniu informacji o stanie zdrowia, rozpoznaniu, proponowanych oraz możliwych metodach diagnostycznych i leczniczych, dających się przewidzieć następstwach ich zastosowania albo zaniechania, wynikach leczenia oraz rokowaniu</w:t>
      </w:r>
      <w:r>
        <w:rPr>
          <w:rStyle w:val="Odwoanieprzypisudolnego"/>
        </w:rPr>
        <w:footnoteReference w:id="3"/>
      </w:r>
      <w:r>
        <w:t xml:space="preserve">. </w:t>
      </w:r>
    </w:p>
    <w:p w14:paraId="26771159" w14:textId="77777777" w:rsidR="0029069C" w:rsidRDefault="0029069C" w:rsidP="0029069C">
      <w:pPr>
        <w:spacing w:line="276" w:lineRule="auto"/>
        <w:jc w:val="both"/>
      </w:pPr>
    </w:p>
    <w:p w14:paraId="74E46CA1" w14:textId="4C3880FC" w:rsidR="0029069C" w:rsidRDefault="0029069C" w:rsidP="0029069C">
      <w:pPr>
        <w:spacing w:line="276" w:lineRule="auto"/>
        <w:jc w:val="both"/>
        <w:rPr>
          <w:b/>
        </w:rPr>
      </w:pPr>
      <w:r w:rsidRPr="0029069C">
        <w:rPr>
          <w:b/>
        </w:rPr>
        <w:t xml:space="preserve">Świadoma zgoda pacjenta to prawo dotyczące wszystkich świadczeń zdrowotnych, nie tylko tych które są finansowane ze środków publicznych. Dokładnie takie samo prawo </w:t>
      </w:r>
      <w:r w:rsidR="007201FF">
        <w:rPr>
          <w:b/>
        </w:rPr>
        <w:br/>
      </w:r>
      <w:r w:rsidRPr="0029069C">
        <w:rPr>
          <w:b/>
        </w:rPr>
        <w:lastRenderedPageBreak/>
        <w:t>do wyrażenia lub odmowy zgody ma pacjent w przypadku świadczeń całkowicie odpłatnych dla siebie.</w:t>
      </w:r>
      <w:r>
        <w:t xml:space="preserve"> </w:t>
      </w:r>
      <w:r w:rsidRPr="0029069C">
        <w:rPr>
          <w:b/>
        </w:rPr>
        <w:t>Warto o tym pamiętać w przypadku wszystkich świadczeń opieki zdrowotnej również tych finansowanych przez pacjenta, choćby podczas wizyty u stomatologa.</w:t>
      </w:r>
    </w:p>
    <w:p w14:paraId="3B862057" w14:textId="77777777" w:rsidR="0029069C" w:rsidRDefault="0029069C" w:rsidP="0029069C">
      <w:pPr>
        <w:spacing w:line="276" w:lineRule="auto"/>
        <w:jc w:val="both"/>
        <w:rPr>
          <w:b/>
        </w:rPr>
      </w:pPr>
    </w:p>
    <w:p w14:paraId="6A8ACD47" w14:textId="14B7C4EE" w:rsidR="0029069C" w:rsidRPr="00B21B52" w:rsidRDefault="0029069C" w:rsidP="0029069C">
      <w:pPr>
        <w:spacing w:line="276" w:lineRule="auto"/>
        <w:jc w:val="both"/>
        <w:rPr>
          <w:b/>
        </w:rPr>
      </w:pPr>
      <w:r w:rsidRPr="0029069C">
        <w:t xml:space="preserve">Prawo pacjenta do wyrażenia świadomej zgody jest związane z innym, równie silnym prawem – prawem do informacji . </w:t>
      </w:r>
      <w:r w:rsidR="00B21B52" w:rsidRPr="00B21B52">
        <w:rPr>
          <w:b/>
        </w:rPr>
        <w:t>Pacjent ma prawo do uzyskania od lekarza przystępnej informacji o swoim stanie zdrowia, rozpoznaniu, proponowanych oraz możliwych metodach diagnostycznych i leczniczych, dających się przewidzieć następstwach ich zastosowania albo zaniechania, wynikach leczenia oraz rokowaniu.</w:t>
      </w:r>
      <w:r w:rsidR="00B21B52">
        <w:rPr>
          <w:rStyle w:val="Odwoanieprzypisudolnego"/>
          <w:b/>
        </w:rPr>
        <w:footnoteReference w:id="4"/>
      </w:r>
    </w:p>
    <w:p w14:paraId="69F20B29" w14:textId="77777777" w:rsidR="0029069C" w:rsidRPr="0029069C" w:rsidRDefault="0029069C" w:rsidP="0029069C">
      <w:pPr>
        <w:spacing w:line="276" w:lineRule="auto"/>
        <w:jc w:val="both"/>
      </w:pPr>
    </w:p>
    <w:p w14:paraId="05A31318" w14:textId="270F84EA" w:rsidR="0029069C" w:rsidRPr="0029069C" w:rsidRDefault="0029069C" w:rsidP="0029069C">
      <w:pPr>
        <w:spacing w:line="276" w:lineRule="auto"/>
        <w:jc w:val="both"/>
      </w:pPr>
      <w:r w:rsidRPr="0029069C">
        <w:t xml:space="preserve">Prawo pacjenta do informacji jest </w:t>
      </w:r>
      <w:r>
        <w:t>chronione</w:t>
      </w:r>
      <w:r w:rsidRPr="0029069C">
        <w:t xml:space="preserve"> nałożonym na osoby realizujące świadczenia zdrowotne obowiązkiem udzielania informacji, i tak:</w:t>
      </w:r>
    </w:p>
    <w:p w14:paraId="650BDD58" w14:textId="5F4CAA46" w:rsidR="0029069C" w:rsidRPr="0029069C" w:rsidRDefault="0029069C" w:rsidP="00B21B52">
      <w:pPr>
        <w:pStyle w:val="Akapitzlist"/>
        <w:numPr>
          <w:ilvl w:val="0"/>
          <w:numId w:val="12"/>
        </w:numPr>
        <w:spacing w:line="276" w:lineRule="auto"/>
        <w:ind w:left="1560"/>
        <w:jc w:val="both"/>
      </w:pPr>
      <w:r w:rsidRPr="0029069C">
        <w:t xml:space="preserve">lekarz, poza wyjątkami zastrzeżonymi w ustawie, ma obowiązek udzielać pacjentowi lub jego ustawowemu przedstawicielowi przystępnej informacji </w:t>
      </w:r>
      <w:r w:rsidR="0054372E">
        <w:br/>
      </w:r>
      <w:r w:rsidRPr="0029069C">
        <w:t>o jego stanie zdrowia, rozpoznaniu, proponowanych oraz możliwych metodach diagnostycznych, leczniczych, dających się przewidzieć następstwach ich zastosowania albo zaniechania, wynikach leczenia oraz rokowaniu.</w:t>
      </w:r>
      <w:r w:rsidR="00B21B52">
        <w:rPr>
          <w:rStyle w:val="Odwoanieprzypisudolnego"/>
        </w:rPr>
        <w:footnoteReference w:id="5"/>
      </w:r>
      <w:r w:rsidRPr="0029069C">
        <w:t xml:space="preserve"> </w:t>
      </w:r>
    </w:p>
    <w:p w14:paraId="13376864" w14:textId="4518BDC7" w:rsidR="0029069C" w:rsidRPr="0029069C" w:rsidRDefault="0029069C" w:rsidP="00B21B52">
      <w:pPr>
        <w:pStyle w:val="Akapitzlist"/>
        <w:numPr>
          <w:ilvl w:val="0"/>
          <w:numId w:val="12"/>
        </w:numPr>
        <w:spacing w:line="276" w:lineRule="auto"/>
        <w:ind w:left="1560"/>
        <w:jc w:val="both"/>
      </w:pPr>
      <w:r w:rsidRPr="0029069C">
        <w:t>pielęgniarka ma obowiązek udzielić pacjentowi lub jego przedstawicielowi ustawowemu albo osobie wskazanej przez pacjenta informacji o stanie zdrowia pacjenta, w zakresie koniecznym do sprawowania opieki pielęgnacyjnej.</w:t>
      </w:r>
      <w:r w:rsidR="0054372E">
        <w:rPr>
          <w:rStyle w:val="Odwoanieprzypisudolnego"/>
        </w:rPr>
        <w:footnoteReference w:id="6"/>
      </w:r>
      <w:r w:rsidRPr="0029069C">
        <w:t xml:space="preserve"> </w:t>
      </w:r>
    </w:p>
    <w:p w14:paraId="23936F79" w14:textId="77777777" w:rsidR="0029069C" w:rsidRDefault="0029069C" w:rsidP="0029069C">
      <w:pPr>
        <w:spacing w:line="276" w:lineRule="auto"/>
        <w:jc w:val="both"/>
        <w:rPr>
          <w:b/>
        </w:rPr>
      </w:pPr>
    </w:p>
    <w:p w14:paraId="4231DFB4" w14:textId="77777777" w:rsidR="00115E9C" w:rsidRDefault="0054372E" w:rsidP="0054372E">
      <w:pPr>
        <w:spacing w:line="276" w:lineRule="auto"/>
        <w:jc w:val="both"/>
        <w:rPr>
          <w:b/>
        </w:rPr>
      </w:pPr>
      <w:r>
        <w:rPr>
          <w:b/>
        </w:rPr>
        <w:t xml:space="preserve">Trzeba podkreślić, że informacja przekazana pacjentowi musi być przystępna. </w:t>
      </w:r>
    </w:p>
    <w:p w14:paraId="0E87BD27" w14:textId="77777777" w:rsidR="00115E9C" w:rsidRDefault="00115E9C" w:rsidP="0054372E">
      <w:pPr>
        <w:spacing w:line="276" w:lineRule="auto"/>
        <w:jc w:val="both"/>
        <w:rPr>
          <w:b/>
        </w:rPr>
      </w:pPr>
    </w:p>
    <w:p w14:paraId="6F482E9A" w14:textId="1E9E8E8F" w:rsidR="0054372E" w:rsidRPr="0054372E" w:rsidRDefault="0054372E" w:rsidP="0054372E">
      <w:pPr>
        <w:spacing w:line="276" w:lineRule="auto"/>
        <w:jc w:val="both"/>
        <w:rPr>
          <w:b/>
        </w:rPr>
      </w:pPr>
      <w:r w:rsidRPr="00115E9C">
        <w:rPr>
          <w:b/>
          <w:i/>
        </w:rPr>
        <w:t>„Zgoda pacjenta musi być zgodą świadomą. Aby mogła taką być - lekarz powinien objaśnić pacjentowi ryzyko związane z leczeniem daną metodą lub zaniechania leczenia oraz poinformować go o innych metodach leczenia, jeśli takie występują. Nawet jeśli w opinii lekarza wybrany przez pacjenta sposób leczenia byłby</w:t>
      </w:r>
      <w:r w:rsidR="00BE47AC">
        <w:rPr>
          <w:b/>
          <w:i/>
        </w:rPr>
        <w:t xml:space="preserve"> </w:t>
      </w:r>
      <w:r w:rsidRPr="00115E9C">
        <w:rPr>
          <w:b/>
          <w:i/>
        </w:rPr>
        <w:t>dla niego niekorzystny – to do pacjenta należy wybór formy i sposobu leczenia.</w:t>
      </w:r>
      <w:r w:rsidR="00BE47AC">
        <w:rPr>
          <w:b/>
          <w:i/>
        </w:rPr>
        <w:t xml:space="preserve"> </w:t>
      </w:r>
      <w:r w:rsidRPr="00115E9C">
        <w:rPr>
          <w:b/>
          <w:i/>
        </w:rPr>
        <w:t>W przypadku naruszenia tego prawa pacjent ma podstawę do wniesienia pozwu przeciw szpitalowi za negatywne skutki leczenia.</w:t>
      </w:r>
      <w:r w:rsidR="00115E9C" w:rsidRPr="00115E9C">
        <w:rPr>
          <w:b/>
          <w:i/>
        </w:rPr>
        <w:t>”</w:t>
      </w:r>
      <w:r w:rsidR="00115E9C">
        <w:rPr>
          <w:b/>
        </w:rPr>
        <w:t xml:space="preserve"> [</w:t>
      </w:r>
      <w:r w:rsidR="00115E9C" w:rsidRPr="00115E9C">
        <w:rPr>
          <w:b/>
        </w:rPr>
        <w:t>Wyrok Sądu Najwyższego z dnia 16 maja 2012 r. sygn. akt: III CSK 227/11</w:t>
      </w:r>
      <w:r w:rsidR="00115E9C">
        <w:rPr>
          <w:b/>
        </w:rPr>
        <w:t xml:space="preserve">]. </w:t>
      </w:r>
    </w:p>
    <w:p w14:paraId="1B2D1D3E" w14:textId="48934B9F" w:rsidR="0054372E" w:rsidRPr="0054372E" w:rsidRDefault="0054372E" w:rsidP="0029069C">
      <w:pPr>
        <w:spacing w:line="276" w:lineRule="auto"/>
        <w:jc w:val="both"/>
        <w:rPr>
          <w:b/>
          <w:i/>
        </w:rPr>
      </w:pPr>
    </w:p>
    <w:p w14:paraId="33615496" w14:textId="62C8827F" w:rsidR="00115E9C" w:rsidRDefault="00115E9C" w:rsidP="00115E9C">
      <w:pPr>
        <w:spacing w:line="276" w:lineRule="auto"/>
        <w:jc w:val="both"/>
      </w:pPr>
      <w:r>
        <w:t>C</w:t>
      </w:r>
      <w:r w:rsidRPr="00115E9C">
        <w:t>zy okoliczność w której pacjent nie zadaje żadnych pytań uzasadnia brak udzielania informacji przez lekarza?</w:t>
      </w:r>
      <w:r>
        <w:t xml:space="preserve"> </w:t>
      </w:r>
      <w:r w:rsidRPr="00044870">
        <w:rPr>
          <w:i/>
        </w:rPr>
        <w:t>„To lekarz musi zaplanować czas na poinformowanie pacjenta o przebiegu zabiegu i wszystkich towarzyszących mu okolicznościach, a także na zadani</w:t>
      </w:r>
      <w:r w:rsidR="00044870" w:rsidRPr="00044870">
        <w:rPr>
          <w:i/>
        </w:rPr>
        <w:t xml:space="preserve">e mu </w:t>
      </w:r>
      <w:r w:rsidR="00044870" w:rsidRPr="00044870">
        <w:rPr>
          <w:i/>
        </w:rPr>
        <w:lastRenderedPageBreak/>
        <w:t>nurtujących pacjenta pytań”</w:t>
      </w:r>
      <w:r w:rsidR="00044870">
        <w:t xml:space="preserve"> [</w:t>
      </w:r>
      <w:r w:rsidR="00044870" w:rsidRPr="00044870">
        <w:t>Wyrok Sądu Najwyższego z dnia</w:t>
      </w:r>
      <w:r w:rsidR="00BE47AC">
        <w:t xml:space="preserve"> </w:t>
      </w:r>
      <w:r w:rsidR="00044870" w:rsidRPr="00044870">
        <w:t>28</w:t>
      </w:r>
      <w:r w:rsidR="00BE47AC">
        <w:t xml:space="preserve"> </w:t>
      </w:r>
      <w:r w:rsidR="00044870" w:rsidRPr="00044870">
        <w:t>sierpnia 1</w:t>
      </w:r>
      <w:r w:rsidR="00044870">
        <w:t>972 r. sygn. akt: III CR 269/72].</w:t>
      </w:r>
    </w:p>
    <w:p w14:paraId="0479462F" w14:textId="6C51DCF2" w:rsidR="0029069C" w:rsidRDefault="0029069C" w:rsidP="0029069C">
      <w:pPr>
        <w:spacing w:line="276" w:lineRule="auto"/>
        <w:jc w:val="both"/>
      </w:pPr>
    </w:p>
    <w:p w14:paraId="0A4FE441" w14:textId="77777777" w:rsidR="00044870" w:rsidRDefault="00044870" w:rsidP="0029069C">
      <w:pPr>
        <w:spacing w:line="276" w:lineRule="auto"/>
        <w:jc w:val="both"/>
      </w:pPr>
    </w:p>
    <w:p w14:paraId="5EB02AB2" w14:textId="245DDB3E" w:rsidR="00391D8D" w:rsidRDefault="00391D8D" w:rsidP="00EE7E4C">
      <w:pPr>
        <w:spacing w:line="276" w:lineRule="auto"/>
        <w:jc w:val="both"/>
      </w:pPr>
      <w:r>
        <w:t>Forma w jakiej zgoda powinna być udzielona</w:t>
      </w:r>
      <w:r w:rsidR="00EE7E4C">
        <w:t xml:space="preserve"> jest uzależniona od rodzaju zabiegu. </w:t>
      </w:r>
    </w:p>
    <w:p w14:paraId="1733A630" w14:textId="77777777" w:rsidR="00391D8D" w:rsidRDefault="00391D8D" w:rsidP="00EE7E4C">
      <w:pPr>
        <w:spacing w:line="276" w:lineRule="auto"/>
        <w:jc w:val="both"/>
      </w:pPr>
    </w:p>
    <w:p w14:paraId="37F50F78" w14:textId="3A040494" w:rsidR="00EE7E4C" w:rsidRDefault="00EE7E4C" w:rsidP="00EE7E4C">
      <w:pPr>
        <w:spacing w:line="276" w:lineRule="auto"/>
        <w:jc w:val="both"/>
      </w:pPr>
      <w:r>
        <w:t xml:space="preserve">W przypadku zabiegu prostego zgoda może być wyrażona w formie ustnej lub </w:t>
      </w:r>
      <w:proofErr w:type="spellStart"/>
      <w:r>
        <w:t>konkludentnie</w:t>
      </w:r>
      <w:proofErr w:type="spellEnd"/>
      <w:r>
        <w:t xml:space="preserve"> (per </w:t>
      </w:r>
      <w:proofErr w:type="spellStart"/>
      <w:r>
        <w:t>facta</w:t>
      </w:r>
      <w:proofErr w:type="spellEnd"/>
      <w:r>
        <w:t xml:space="preserve"> </w:t>
      </w:r>
      <w:proofErr w:type="spellStart"/>
      <w:r>
        <w:t>concludentia</w:t>
      </w:r>
      <w:proofErr w:type="spellEnd"/>
      <w:r>
        <w:t>), to znaczy poprzez takie zachowanie się pacjenta, w którym wyraża on w sposób jednoznaczny zgodę na wykonanie danego zabiegu oraz współpracuje z lekarzem przy jego wykonywaniu.</w:t>
      </w:r>
      <w:r w:rsidR="00391D8D">
        <w:rPr>
          <w:rStyle w:val="Odwoanieprzypisudolnego"/>
        </w:rPr>
        <w:footnoteReference w:id="7"/>
      </w:r>
      <w:r>
        <w:t xml:space="preserve"> </w:t>
      </w:r>
    </w:p>
    <w:p w14:paraId="13AA3BA3" w14:textId="77777777" w:rsidR="00EE7E4C" w:rsidRDefault="00EE7E4C" w:rsidP="00EE7E4C">
      <w:pPr>
        <w:spacing w:line="276" w:lineRule="auto"/>
        <w:jc w:val="both"/>
      </w:pPr>
    </w:p>
    <w:p w14:paraId="7932CC23" w14:textId="269E6176" w:rsidR="00EE7E4C" w:rsidRDefault="00EE7E4C" w:rsidP="00391D8D">
      <w:pPr>
        <w:spacing w:line="276" w:lineRule="auto"/>
        <w:jc w:val="both"/>
      </w:pPr>
      <w:r>
        <w:t xml:space="preserve">Przykładem zabiegu prostego może być pobranie krwi lub badanie łuków podniebiennych. Zgoda </w:t>
      </w:r>
      <w:proofErr w:type="spellStart"/>
      <w:r>
        <w:t>konkludentna</w:t>
      </w:r>
      <w:proofErr w:type="spellEnd"/>
      <w:r>
        <w:t xml:space="preserve"> czyli dorozumiana będzie polegała na takiej współpracy pacjenta </w:t>
      </w:r>
      <w:r>
        <w:br/>
      </w:r>
      <w:r w:rsidRPr="00EE7E4C">
        <w:t>z lekarzem, która będzie umożliwiała wykonanie zabiegu, to znaczy: w trakcie pobrania krwi pacjent w pozycji siedzącej odsłania przedramię w celu wkłucia igły lub w przypadku badania łuków podniebiennych otwiera usta na polecenie lekarza wykonującego badanie.</w:t>
      </w:r>
    </w:p>
    <w:p w14:paraId="3BEA2BDB" w14:textId="33988E7E" w:rsidR="00E50814" w:rsidRDefault="00E50814" w:rsidP="00391D8D">
      <w:pPr>
        <w:jc w:val="both"/>
      </w:pPr>
    </w:p>
    <w:p w14:paraId="3EC8EFE2" w14:textId="4ABCA7A4" w:rsidR="0078741F" w:rsidRDefault="00391D8D" w:rsidP="0078741F">
      <w:pPr>
        <w:spacing w:line="276" w:lineRule="auto"/>
        <w:jc w:val="both"/>
      </w:pPr>
      <w:r>
        <w:t xml:space="preserve">Natomiast w </w:t>
      </w:r>
      <w:r w:rsidRPr="00391D8D">
        <w:t>przypadku zabiegu operacyjnego oraz metody leczenia lub diagn</w:t>
      </w:r>
      <w:r>
        <w:t xml:space="preserve">ostyki </w:t>
      </w:r>
      <w:r w:rsidRPr="00391D8D">
        <w:t xml:space="preserve">stwarzających podwyższone ryzyko dla pacjenta zgoda pacjenta powinna zostać udzielona </w:t>
      </w:r>
      <w:r>
        <w:br/>
      </w:r>
      <w:r w:rsidRPr="00391D8D">
        <w:t>w formie pisemnej.</w:t>
      </w:r>
      <w:r>
        <w:rPr>
          <w:rStyle w:val="Odwoanieprzypisudolnego"/>
        </w:rPr>
        <w:footnoteReference w:id="8"/>
      </w:r>
      <w:r w:rsidR="00BE47AC">
        <w:t xml:space="preserve"> </w:t>
      </w:r>
      <w:r w:rsidR="0078741F" w:rsidRPr="0078741F">
        <w:rPr>
          <w:b/>
        </w:rPr>
        <w:t>Czy podanie leku może zostać uznane za zabieg prosty?</w:t>
      </w:r>
      <w:r w:rsidR="0078741F">
        <w:t xml:space="preserve"> W kontekście możliwości wystąpienia działań i zdarzeń niepożądanych oraz wymogu ich zgłaszania nie można uznać podania, a szczególnie zmiany leku za tzw. zabieg prosty. Zatem zgoda na podanie lub zmianę leku nie może nastąpić w sposób dorozumiany. Zasada ta dotyczy również zmiany leków o tej samej substancji czynnej opisanych różną nazwą handlową.</w:t>
      </w:r>
    </w:p>
    <w:p w14:paraId="0A6028CD" w14:textId="77777777" w:rsidR="0078741F" w:rsidRDefault="0078741F" w:rsidP="0078741F">
      <w:pPr>
        <w:spacing w:line="276" w:lineRule="auto"/>
        <w:jc w:val="both"/>
      </w:pPr>
    </w:p>
    <w:p w14:paraId="1987FCB4" w14:textId="68B7BE6E" w:rsidR="009A4FEC" w:rsidRDefault="0078741F" w:rsidP="0078741F">
      <w:pPr>
        <w:spacing w:line="276" w:lineRule="auto"/>
        <w:jc w:val="both"/>
      </w:pPr>
      <w:r w:rsidRPr="0078741F">
        <w:t xml:space="preserve">Wyrażenie świadomej tj. poinformowanej zgody pacjenta jest oświadczeniem woli poprzedzonym procesem decyzyjnym. </w:t>
      </w:r>
      <w:r w:rsidRPr="00991001">
        <w:rPr>
          <w:b/>
        </w:rPr>
        <w:t xml:space="preserve">Aby zgoda pacjenta była skuteczna prawnie musi być świadoma, tj. wyrażona </w:t>
      </w:r>
      <w:r w:rsidR="008F1807" w:rsidRPr="00991001">
        <w:rPr>
          <w:b/>
        </w:rPr>
        <w:t xml:space="preserve">w sposób swobodny </w:t>
      </w:r>
      <w:r w:rsidRPr="00991001">
        <w:rPr>
          <w:b/>
        </w:rPr>
        <w:t xml:space="preserve">po uzyskaniu informacji niezbędnych </w:t>
      </w:r>
      <w:r w:rsidR="00EC4F78">
        <w:rPr>
          <w:b/>
        </w:rPr>
        <w:br/>
      </w:r>
      <w:r w:rsidRPr="00991001">
        <w:rPr>
          <w:b/>
        </w:rPr>
        <w:t>do podjęcia decyzji.</w:t>
      </w:r>
      <w:r w:rsidR="008F1807" w:rsidRPr="00991001">
        <w:rPr>
          <w:b/>
        </w:rPr>
        <w:t xml:space="preserve"> </w:t>
      </w:r>
      <w:r w:rsidR="009A4FEC" w:rsidRPr="00991001">
        <w:rPr>
          <w:b/>
        </w:rPr>
        <w:t>Zgoda pacjenta nie może być traktowana jako biurokratyczny obowiązek.</w:t>
      </w:r>
      <w:r w:rsidR="009A4FEC">
        <w:t xml:space="preserve"> </w:t>
      </w:r>
    </w:p>
    <w:p w14:paraId="4793D7BD" w14:textId="77777777" w:rsidR="007452DB" w:rsidRDefault="007452DB" w:rsidP="00736116">
      <w:pPr>
        <w:spacing w:line="276" w:lineRule="auto"/>
      </w:pPr>
    </w:p>
    <w:p w14:paraId="0DC85032" w14:textId="77777777" w:rsidR="00BE3C01" w:rsidRDefault="00BE3C01" w:rsidP="00BE3C01">
      <w:pPr>
        <w:pStyle w:val="Nagwek1"/>
        <w:keepNext w:val="0"/>
        <w:keepLines w:val="0"/>
        <w:spacing w:line="276" w:lineRule="auto"/>
      </w:pPr>
      <w:bookmarkStart w:id="7" w:name="_Toc448419458"/>
      <w:r>
        <w:t>Ochrona praw pacjenta.</w:t>
      </w:r>
      <w:bookmarkEnd w:id="7"/>
      <w:r>
        <w:t xml:space="preserve"> </w:t>
      </w:r>
    </w:p>
    <w:p w14:paraId="099AB4EC" w14:textId="77777777" w:rsidR="002045E5" w:rsidRDefault="002045E5" w:rsidP="002045E5"/>
    <w:p w14:paraId="0F1B8A58" w14:textId="15B20282" w:rsidR="002045E5" w:rsidRPr="002045E5" w:rsidRDefault="002045E5" w:rsidP="002045E5">
      <w:r>
        <w:t>Prawa pacjenta podlegają ochronie zarówno prawa cywilnego jak i ochronie administracyjnej sprawowanej przez Rzecznika Praw Pacjenta.</w:t>
      </w:r>
      <w:r w:rsidR="00BE47AC">
        <w:t xml:space="preserve"> </w:t>
      </w:r>
    </w:p>
    <w:p w14:paraId="58B93C2B" w14:textId="77777777" w:rsidR="007452DB" w:rsidRDefault="007452DB" w:rsidP="00736116">
      <w:pPr>
        <w:spacing w:line="276" w:lineRule="auto"/>
      </w:pPr>
    </w:p>
    <w:p w14:paraId="5D1DBFD1" w14:textId="7052F456" w:rsidR="008F1807" w:rsidRDefault="008F1807" w:rsidP="008F1807">
      <w:pPr>
        <w:spacing w:line="276" w:lineRule="auto"/>
        <w:jc w:val="both"/>
      </w:pPr>
      <w:r w:rsidRPr="0004052C">
        <w:rPr>
          <w:b/>
        </w:rPr>
        <w:t>Dobra osobiste człowieka, jak w szczególności zdrowie, wolność, godność pozostają pod ochroną prawa cywilnego niezależnie od ochrony pr</w:t>
      </w:r>
      <w:r w:rsidR="0004052C" w:rsidRPr="0004052C">
        <w:rPr>
          <w:b/>
        </w:rPr>
        <w:t>zewidzianej w innych przepisach</w:t>
      </w:r>
      <w:r w:rsidR="0004052C">
        <w:rPr>
          <w:rStyle w:val="Odwoanieprzypisudolnego"/>
          <w:b/>
        </w:rPr>
        <w:footnoteReference w:id="9"/>
      </w:r>
      <w:r w:rsidRPr="0004052C">
        <w:rPr>
          <w:b/>
        </w:rPr>
        <w:t>.</w:t>
      </w:r>
      <w:r w:rsidR="0004052C">
        <w:t xml:space="preserve"> </w:t>
      </w:r>
      <w:r>
        <w:lastRenderedPageBreak/>
        <w:t>Odpowiedzialność cywilna, jest rodzajem odpowiedzialności prawnej, określającym majątkowy charakter sankcji. Ogólne zasady odpowiedzialności cywilnej określa kodeks cywilny. W tym kontekście należy wskazać dwa tytuły odpowiedzialności cywilnej: odpowiedzialność z tytułu naruszenia dóbr osobistych oraz odpowiedzialność z tytułu naruszenia dóbr majątkowych. Naruszenie dóbr majątkowych jest związane z wyrządzeniem szkody w postaci uszczerbku na zdrowiu, będzie to szkoda na osobie wyrządzona pacjentowi jako konsekwencja niewykonania lub nienależytego przeprowadzenia procesu leczenia. Istotne jest jednak czy powstała w przebiegu leczenia komplikacja jest normalnym ryzykiem danego zabiegu. Innym tytułem odpowiedzialności cywilnej będzie naruszenie dóbr osobistych</w:t>
      </w:r>
      <w:r w:rsidR="002045E5">
        <w:t>, czyli na przykład praw pacjenta</w:t>
      </w:r>
      <w:r>
        <w:t xml:space="preserve">. Tu należy wskazać, że </w:t>
      </w:r>
      <w:r w:rsidRPr="0004052C">
        <w:rPr>
          <w:b/>
        </w:rPr>
        <w:t>zgodnie z przepisem zawartym w art. 4 ust. 1 ustawy o prawach pacjenta i Rzeczniku Praw Pacjenta w przypadku zawinionego naruszenia praw pacjenta, sąd może przyznać poszkodowanemu odpowiednią sumę, tytułem zadośćuczynienia pieniężnego za doznaną krzywdę na podstawie art. 448</w:t>
      </w:r>
      <w:r w:rsidR="00BE47AC">
        <w:rPr>
          <w:b/>
        </w:rPr>
        <w:t xml:space="preserve"> </w:t>
      </w:r>
      <w:r w:rsidR="00EB26EF">
        <w:rPr>
          <w:b/>
          <w:i/>
        </w:rPr>
        <w:t>k</w:t>
      </w:r>
      <w:r w:rsidRPr="00EB26EF">
        <w:rPr>
          <w:b/>
          <w:i/>
        </w:rPr>
        <w:t>odeksu cywilnego</w:t>
      </w:r>
      <w:r>
        <w:t>.</w:t>
      </w:r>
      <w:r w:rsidR="0004052C">
        <w:t xml:space="preserve"> </w:t>
      </w:r>
      <w:r>
        <w:t xml:space="preserve">Przesłanką dopuszczalności roszczenia na podstawie naruszenia praw pacjenta jest wina, zarówno umyślna, jak i nieumyślna sprawcy naruszenia, a zawinione naruszenie prawa pacjenta jest zarazem naruszeniem dobra osobistego. </w:t>
      </w:r>
    </w:p>
    <w:p w14:paraId="4E8BC89B" w14:textId="77777777" w:rsidR="008F1807" w:rsidRDefault="008F1807" w:rsidP="00736116">
      <w:pPr>
        <w:spacing w:line="276" w:lineRule="auto"/>
      </w:pPr>
    </w:p>
    <w:p w14:paraId="00D80E33" w14:textId="7BA56755" w:rsidR="00891BED" w:rsidRDefault="0004052C" w:rsidP="0004052C">
      <w:pPr>
        <w:spacing w:line="276" w:lineRule="auto"/>
        <w:jc w:val="both"/>
      </w:pPr>
      <w:r>
        <w:t>Rzecznik Praw Pacjenta jest organem administracji rządowej powołanym w celu ochrony praw pacjenta. Nadzór nad działalnością Rzecznika spra</w:t>
      </w:r>
      <w:r w:rsidR="002045E5">
        <w:t>wuje Prezes Rady Ministrów</w:t>
      </w:r>
      <w:r w:rsidR="002045E5">
        <w:rPr>
          <w:rStyle w:val="Odwoanieprzypisudolnego"/>
        </w:rPr>
        <w:footnoteReference w:id="10"/>
      </w:r>
      <w:r w:rsidR="002045E5">
        <w:t xml:space="preserve">. </w:t>
      </w:r>
      <w:r>
        <w:t>Rzecznik Praw Pacjenta działa wyłącznie w przedmiocie naruszenia praw pacjenta tj.:</w:t>
      </w:r>
    </w:p>
    <w:p w14:paraId="137A198D" w14:textId="77777777" w:rsidR="00891BED" w:rsidRDefault="00891BED" w:rsidP="0004052C">
      <w:pPr>
        <w:spacing w:line="276" w:lineRule="auto"/>
        <w:jc w:val="both"/>
      </w:pPr>
    </w:p>
    <w:p w14:paraId="2F40CDA9" w14:textId="7899DC65" w:rsidR="0004052C" w:rsidRDefault="0004052C" w:rsidP="00DA19EE">
      <w:pPr>
        <w:pStyle w:val="Akapitzlist"/>
        <w:numPr>
          <w:ilvl w:val="0"/>
          <w:numId w:val="13"/>
        </w:numPr>
        <w:spacing w:line="276" w:lineRule="auto"/>
        <w:ind w:left="1560"/>
        <w:jc w:val="both"/>
      </w:pPr>
      <w:r>
        <w:t>prawo pacjenta do świadczeń zdrowotnych,</w:t>
      </w:r>
    </w:p>
    <w:p w14:paraId="641EA82E" w14:textId="41A8F7E4" w:rsidR="0004052C" w:rsidRDefault="0004052C" w:rsidP="00DA19EE">
      <w:pPr>
        <w:pStyle w:val="Akapitzlist"/>
        <w:numPr>
          <w:ilvl w:val="0"/>
          <w:numId w:val="13"/>
        </w:numPr>
        <w:spacing w:line="276" w:lineRule="auto"/>
        <w:ind w:left="1560"/>
        <w:jc w:val="both"/>
      </w:pPr>
      <w:r>
        <w:t>prawo pacjenta do informacji,</w:t>
      </w:r>
    </w:p>
    <w:p w14:paraId="0726DA1C" w14:textId="0A3AC092" w:rsidR="0004052C" w:rsidRDefault="0004052C" w:rsidP="00DA19EE">
      <w:pPr>
        <w:pStyle w:val="Akapitzlist"/>
        <w:numPr>
          <w:ilvl w:val="0"/>
          <w:numId w:val="13"/>
        </w:numPr>
        <w:spacing w:line="276" w:lineRule="auto"/>
        <w:ind w:left="1560"/>
        <w:jc w:val="both"/>
      </w:pPr>
      <w:r>
        <w:t>prawo do zgłaszania działań niepożądanych produktów leczniczych,</w:t>
      </w:r>
    </w:p>
    <w:p w14:paraId="788A1F23" w14:textId="0AFA533F" w:rsidR="0004052C" w:rsidRDefault="0004052C" w:rsidP="00DA19EE">
      <w:pPr>
        <w:pStyle w:val="Akapitzlist"/>
        <w:numPr>
          <w:ilvl w:val="0"/>
          <w:numId w:val="13"/>
        </w:numPr>
        <w:spacing w:line="276" w:lineRule="auto"/>
        <w:ind w:left="1560"/>
        <w:jc w:val="both"/>
      </w:pPr>
      <w:r>
        <w:t>prawo pacjenta do tajemnicy informacji z nim związanych,</w:t>
      </w:r>
    </w:p>
    <w:p w14:paraId="65D9800B" w14:textId="40583FD3" w:rsidR="0004052C" w:rsidRDefault="0004052C" w:rsidP="00DA19EE">
      <w:pPr>
        <w:pStyle w:val="Akapitzlist"/>
        <w:numPr>
          <w:ilvl w:val="0"/>
          <w:numId w:val="13"/>
        </w:numPr>
        <w:spacing w:line="276" w:lineRule="auto"/>
        <w:ind w:left="1560"/>
        <w:jc w:val="both"/>
      </w:pPr>
      <w:r>
        <w:t>prawo pacjenta do wyrażenia zgody na udzielenie świadczeń zdrowotnych,</w:t>
      </w:r>
    </w:p>
    <w:p w14:paraId="6412096D" w14:textId="14955460" w:rsidR="0004052C" w:rsidRDefault="0004052C" w:rsidP="00DA19EE">
      <w:pPr>
        <w:pStyle w:val="Akapitzlist"/>
        <w:numPr>
          <w:ilvl w:val="0"/>
          <w:numId w:val="13"/>
        </w:numPr>
        <w:spacing w:line="276" w:lineRule="auto"/>
        <w:ind w:left="1560"/>
        <w:jc w:val="both"/>
      </w:pPr>
      <w:r>
        <w:t>prawo do poszanowania intymności i godności pacjenta,</w:t>
      </w:r>
    </w:p>
    <w:p w14:paraId="230075DD" w14:textId="3FD2AEBB" w:rsidR="0004052C" w:rsidRDefault="0004052C" w:rsidP="00DA19EE">
      <w:pPr>
        <w:pStyle w:val="Akapitzlist"/>
        <w:numPr>
          <w:ilvl w:val="0"/>
          <w:numId w:val="13"/>
        </w:numPr>
        <w:spacing w:line="276" w:lineRule="auto"/>
        <w:ind w:left="1560"/>
        <w:jc w:val="both"/>
      </w:pPr>
      <w:r>
        <w:t>prawo pacjenta do dokumentacji medycznej,</w:t>
      </w:r>
    </w:p>
    <w:p w14:paraId="63B65BE6" w14:textId="10861D32" w:rsidR="0004052C" w:rsidRDefault="0004052C" w:rsidP="00DA19EE">
      <w:pPr>
        <w:pStyle w:val="Akapitzlist"/>
        <w:numPr>
          <w:ilvl w:val="0"/>
          <w:numId w:val="13"/>
        </w:numPr>
        <w:spacing w:line="276" w:lineRule="auto"/>
        <w:ind w:left="1560"/>
        <w:jc w:val="both"/>
      </w:pPr>
      <w:r>
        <w:t>prawo pacjenta do zgłoszenia sprzeciwu wobec opinii albo orzeczenia lekarza,</w:t>
      </w:r>
    </w:p>
    <w:p w14:paraId="65F084BB" w14:textId="041AB1CD" w:rsidR="0004052C" w:rsidRDefault="0004052C" w:rsidP="00DA19EE">
      <w:pPr>
        <w:pStyle w:val="Akapitzlist"/>
        <w:numPr>
          <w:ilvl w:val="0"/>
          <w:numId w:val="13"/>
        </w:numPr>
        <w:spacing w:line="276" w:lineRule="auto"/>
        <w:ind w:left="1560"/>
        <w:jc w:val="both"/>
      </w:pPr>
      <w:r>
        <w:t>prawo pacjenta do poszanowania życia prywatnego i rodzinnego,</w:t>
      </w:r>
    </w:p>
    <w:p w14:paraId="5720F5A4" w14:textId="0F23C684" w:rsidR="0004052C" w:rsidRDefault="0004052C" w:rsidP="00DA19EE">
      <w:pPr>
        <w:pStyle w:val="Akapitzlist"/>
        <w:numPr>
          <w:ilvl w:val="0"/>
          <w:numId w:val="13"/>
        </w:numPr>
        <w:spacing w:line="276" w:lineRule="auto"/>
        <w:ind w:left="1560"/>
        <w:jc w:val="both"/>
      </w:pPr>
      <w:r>
        <w:t>prawo pacjenta do opieki duszpasterskiej,</w:t>
      </w:r>
    </w:p>
    <w:p w14:paraId="267C6A26" w14:textId="6A835C8A" w:rsidR="0004052C" w:rsidRDefault="0004052C" w:rsidP="00DA19EE">
      <w:pPr>
        <w:pStyle w:val="Akapitzlist"/>
        <w:numPr>
          <w:ilvl w:val="0"/>
          <w:numId w:val="13"/>
        </w:numPr>
        <w:spacing w:line="276" w:lineRule="auto"/>
        <w:ind w:left="1560"/>
        <w:jc w:val="both"/>
      </w:pPr>
      <w:r>
        <w:t>prawo pacjenta do przechowywania rzeczy wartościowych w depozycie.</w:t>
      </w:r>
    </w:p>
    <w:p w14:paraId="0E00F7EB" w14:textId="77777777" w:rsidR="0004052C" w:rsidRDefault="0004052C" w:rsidP="0004052C">
      <w:pPr>
        <w:spacing w:line="276" w:lineRule="auto"/>
        <w:jc w:val="both"/>
      </w:pPr>
    </w:p>
    <w:p w14:paraId="17122023" w14:textId="6C118323" w:rsidR="0004052C" w:rsidRPr="0004052C" w:rsidRDefault="0004052C" w:rsidP="0004052C">
      <w:pPr>
        <w:spacing w:line="276" w:lineRule="auto"/>
        <w:jc w:val="both"/>
        <w:rPr>
          <w:b/>
        </w:rPr>
      </w:pPr>
      <w:r w:rsidRPr="0004052C">
        <w:rPr>
          <w:b/>
        </w:rPr>
        <w:t xml:space="preserve">Rzecznik Praw Pacjenta działa na wniosek lub z własnej inicjatywy, biorąc pod uwagę </w:t>
      </w:r>
      <w:r w:rsidR="00EC4F78">
        <w:rPr>
          <w:b/>
        </w:rPr>
        <w:br/>
      </w:r>
      <w:r w:rsidRPr="0004052C">
        <w:rPr>
          <w:b/>
        </w:rPr>
        <w:t>w szczególności uzyskane informacje co najmniej uprawdopodabniające naruszenie praw pacjenta. Szczegółowa procedura zostanie opisana w poniższych rozdziałach.</w:t>
      </w:r>
    </w:p>
    <w:p w14:paraId="7085C3E6" w14:textId="77777777" w:rsidR="0004052C" w:rsidRDefault="0004052C" w:rsidP="00736116">
      <w:pPr>
        <w:spacing w:line="276" w:lineRule="auto"/>
      </w:pPr>
    </w:p>
    <w:p w14:paraId="5EE9AFBE" w14:textId="76E0B53F" w:rsidR="00DA19EE" w:rsidRDefault="00DA19EE" w:rsidP="00DA19EE">
      <w:pPr>
        <w:spacing w:line="276" w:lineRule="auto"/>
        <w:jc w:val="both"/>
      </w:pPr>
      <w:r>
        <w:lastRenderedPageBreak/>
        <w:t xml:space="preserve">W przypadku naruszenia któregokolwiek z praw pacjenta, pacjent ma prawo zwrócić się </w:t>
      </w:r>
      <w:r w:rsidR="00EC4F78">
        <w:br/>
      </w:r>
      <w:r>
        <w:t>do Rzecznika Praw Pacjenta z wnioskiem o wszczęcie postępowania wyjaśniającego. Wniosek powinien zawierać co najmniej uprawdopodobnienie naruszenia praw pacjenta poprzez zawarcie:</w:t>
      </w:r>
    </w:p>
    <w:p w14:paraId="4607E4D0" w14:textId="4B37BF2F" w:rsidR="00DA19EE" w:rsidRDefault="00DA19EE" w:rsidP="00DA19EE">
      <w:pPr>
        <w:pStyle w:val="Akapitzlist"/>
        <w:numPr>
          <w:ilvl w:val="0"/>
          <w:numId w:val="14"/>
        </w:numPr>
        <w:spacing w:line="276" w:lineRule="auto"/>
        <w:ind w:left="1560"/>
      </w:pPr>
      <w:r>
        <w:t>oznaczenie wnioskodawcy,</w:t>
      </w:r>
    </w:p>
    <w:p w14:paraId="37E1E2C5" w14:textId="34AE504E" w:rsidR="00DA19EE" w:rsidRDefault="00DA19EE" w:rsidP="00DA19EE">
      <w:pPr>
        <w:pStyle w:val="Akapitzlist"/>
        <w:numPr>
          <w:ilvl w:val="0"/>
          <w:numId w:val="14"/>
        </w:numPr>
        <w:spacing w:line="276" w:lineRule="auto"/>
        <w:ind w:left="1560"/>
      </w:pPr>
      <w:r>
        <w:t>oznaczenie pacjenta, którego praw sprawa dotyczy,</w:t>
      </w:r>
    </w:p>
    <w:p w14:paraId="6FC565EC" w14:textId="1E4B9F33" w:rsidR="00DA19EE" w:rsidRDefault="00DA19EE" w:rsidP="00DA19EE">
      <w:pPr>
        <w:pStyle w:val="Akapitzlist"/>
        <w:numPr>
          <w:ilvl w:val="0"/>
          <w:numId w:val="14"/>
        </w:numPr>
        <w:spacing w:line="276" w:lineRule="auto"/>
        <w:ind w:left="1560"/>
      </w:pPr>
      <w:r>
        <w:t>zwięzły opis stanu faktycznego.</w:t>
      </w:r>
    </w:p>
    <w:p w14:paraId="14FBA63E" w14:textId="15255418" w:rsidR="00DA19EE" w:rsidRPr="00DA19EE" w:rsidRDefault="00DA19EE" w:rsidP="00DA19EE">
      <w:pPr>
        <w:spacing w:line="276" w:lineRule="auto"/>
        <w:jc w:val="both"/>
        <w:rPr>
          <w:b/>
        </w:rPr>
      </w:pPr>
      <w:r w:rsidRPr="00DA19EE">
        <w:rPr>
          <w:b/>
        </w:rPr>
        <w:t>Zdarzają się jednak przypadki kiedy pacjent nie ma pewności jakie środki ochrony w danym przypadku mu przysługują i czy faktycznie Rzecznik Praw Pacjenta zajmie się daną sprawą, to znaczy czy w danym przypadku doszło do naruszenia prawa pacjenta. W takiej sytuacji zawsze pacjent ma prawo zwrócić się do Rzecznika Praw Pacjenta z wnioskiem o wskazanie przysługujących środków prawnych.</w:t>
      </w:r>
    </w:p>
    <w:p w14:paraId="38A09C7E" w14:textId="77777777" w:rsidR="00DA19EE" w:rsidRDefault="00DA19EE" w:rsidP="00DA19EE">
      <w:pPr>
        <w:spacing w:line="276" w:lineRule="auto"/>
      </w:pPr>
    </w:p>
    <w:p w14:paraId="7C3E9EE6" w14:textId="77777777" w:rsidR="00DA19EE" w:rsidRDefault="00DA19EE" w:rsidP="00736116">
      <w:pPr>
        <w:spacing w:line="276" w:lineRule="auto"/>
      </w:pPr>
    </w:p>
    <w:p w14:paraId="722FE7FD" w14:textId="6F2C3CD3" w:rsidR="00891BED" w:rsidRDefault="00150995" w:rsidP="00891BED">
      <w:pPr>
        <w:pStyle w:val="Nagwek1"/>
        <w:keepNext w:val="0"/>
        <w:keepLines w:val="0"/>
        <w:spacing w:line="276" w:lineRule="auto"/>
      </w:pPr>
      <w:bookmarkStart w:id="8" w:name="_Toc448419459"/>
      <w:r>
        <w:t>Wnioski</w:t>
      </w:r>
      <w:r w:rsidR="007452DB">
        <w:t>.</w:t>
      </w:r>
      <w:bookmarkEnd w:id="8"/>
      <w:r w:rsidR="007452DB">
        <w:t xml:space="preserve"> </w:t>
      </w:r>
    </w:p>
    <w:p w14:paraId="67852186" w14:textId="77777777" w:rsidR="00891BED" w:rsidRPr="00891BED" w:rsidRDefault="00891BED" w:rsidP="00891BED"/>
    <w:p w14:paraId="4E32E401" w14:textId="3FF69E26" w:rsidR="00891BED" w:rsidRDefault="00150995" w:rsidP="00EB60C9">
      <w:pPr>
        <w:pStyle w:val="Akapitzlist"/>
        <w:numPr>
          <w:ilvl w:val="0"/>
          <w:numId w:val="15"/>
        </w:numPr>
        <w:jc w:val="both"/>
      </w:pPr>
      <w:r>
        <w:t>Prawa pacjenta są prawami podstawowymi i podlegają szczególnej ochronie</w:t>
      </w:r>
      <w:r w:rsidR="00891BED">
        <w:t xml:space="preserve">. </w:t>
      </w:r>
    </w:p>
    <w:p w14:paraId="42641FF0" w14:textId="3B8E7E13" w:rsidR="00150995" w:rsidRDefault="00150995" w:rsidP="00EB60C9">
      <w:pPr>
        <w:pStyle w:val="Akapitzlist"/>
        <w:numPr>
          <w:ilvl w:val="0"/>
          <w:numId w:val="15"/>
        </w:numPr>
        <w:jc w:val="both"/>
      </w:pPr>
      <w:r>
        <w:t xml:space="preserve">Prawo pacjenta równego dostępu do świadczeń gwarantowanych w stanie zagrożenia życia lub zdrowia </w:t>
      </w:r>
      <w:r w:rsidR="00926FBD">
        <w:t>powinno mieć</w:t>
      </w:r>
      <w:r>
        <w:t xml:space="preserve"> charakter </w:t>
      </w:r>
      <w:r w:rsidR="00926FBD">
        <w:t xml:space="preserve">wyprzedzający zobowiązania wynikające </w:t>
      </w:r>
      <w:r w:rsidR="00926FBD">
        <w:br/>
        <w:t>z limitu umowy zawartej z NFZ</w:t>
      </w:r>
      <w:r>
        <w:t xml:space="preserve">. </w:t>
      </w:r>
    </w:p>
    <w:p w14:paraId="4344663F" w14:textId="5D246155" w:rsidR="00926FBD" w:rsidRDefault="00926FBD" w:rsidP="00EB60C9">
      <w:pPr>
        <w:pStyle w:val="Akapitzlist"/>
        <w:numPr>
          <w:ilvl w:val="0"/>
          <w:numId w:val="15"/>
        </w:numPr>
        <w:jc w:val="both"/>
      </w:pPr>
      <w:r>
        <w:t xml:space="preserve">Prawo pacjenta równego dostępu do świadczeń gwarantowanych obejmuje również </w:t>
      </w:r>
      <w:r w:rsidR="00EB60C9">
        <w:t xml:space="preserve">prawo równego dostępu do każdego z leków objętych pozytywną decyzją refundowaną na zasadach określonych w decyzji o refundacji. </w:t>
      </w:r>
    </w:p>
    <w:p w14:paraId="06D2B989" w14:textId="1F93E119" w:rsidR="00EB60C9" w:rsidRDefault="00EB60C9" w:rsidP="00EB60C9">
      <w:pPr>
        <w:pStyle w:val="Akapitzlist"/>
        <w:numPr>
          <w:ilvl w:val="0"/>
          <w:numId w:val="15"/>
        </w:numPr>
        <w:jc w:val="both"/>
      </w:pPr>
      <w:r>
        <w:t xml:space="preserve">Pacjent ma prawo do wyrażenia świadomej zgody na leczenie, lub zmianę leczenia. Zgoda ta powinna być poprzedzona udzieleniem pacjentowi przystępnej informacji </w:t>
      </w:r>
      <w:r>
        <w:br/>
        <w:t xml:space="preserve">o stanie zdrowia, rozpoznaniu, możliwych i alternatywnych metodach leczenia. </w:t>
      </w:r>
    </w:p>
    <w:p w14:paraId="6BA5C935" w14:textId="6DBB8C76" w:rsidR="0061591A" w:rsidRDefault="009A4FEC" w:rsidP="00EB60C9">
      <w:pPr>
        <w:pStyle w:val="Akapitzlist"/>
        <w:numPr>
          <w:ilvl w:val="0"/>
          <w:numId w:val="15"/>
        </w:numPr>
        <w:jc w:val="both"/>
      </w:pPr>
      <w:r>
        <w:t>Kluczowa</w:t>
      </w:r>
      <w:r w:rsidR="0061591A">
        <w:t xml:space="preserve"> jest </w:t>
      </w:r>
      <w:r w:rsidR="00926FBD">
        <w:t xml:space="preserve">systemowa </w:t>
      </w:r>
      <w:r w:rsidR="0061591A">
        <w:t>zmiana organizacji udzielanych świadczeń w taki sposób, aby lekarz mógł poświęcić czas wymagany na rozmowę z pacjentem.</w:t>
      </w:r>
      <w:r w:rsidR="00BE47AC">
        <w:t xml:space="preserve"> </w:t>
      </w:r>
    </w:p>
    <w:p w14:paraId="0006F8A0" w14:textId="77777777" w:rsidR="007452DB" w:rsidRPr="007452DB" w:rsidRDefault="007452DB" w:rsidP="00B46401">
      <w:pPr>
        <w:spacing w:line="276" w:lineRule="auto"/>
      </w:pPr>
    </w:p>
    <w:sectPr w:rsidR="007452DB" w:rsidRPr="007452DB" w:rsidSect="00533676">
      <w:footerReference w:type="even" r:id="rId10"/>
      <w:footerReference w:type="default" r:id="rId11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9D858" w14:textId="77777777" w:rsidR="00A26722" w:rsidRDefault="00A26722" w:rsidP="007452DB">
      <w:r>
        <w:separator/>
      </w:r>
    </w:p>
  </w:endnote>
  <w:endnote w:type="continuationSeparator" w:id="0">
    <w:p w14:paraId="64C55EDD" w14:textId="77777777" w:rsidR="00A26722" w:rsidRDefault="00A26722" w:rsidP="0074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7D928" w14:textId="77777777" w:rsidR="007452DB" w:rsidRDefault="007452DB" w:rsidP="00521E7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5295FF" w14:textId="77777777" w:rsidR="007452DB" w:rsidRDefault="007452DB" w:rsidP="007452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C194" w14:textId="77777777" w:rsidR="007452DB" w:rsidRDefault="007452DB" w:rsidP="00521E7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149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0881731" w14:textId="77777777" w:rsidR="007452DB" w:rsidRDefault="007452DB" w:rsidP="007452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E3370" w14:textId="77777777" w:rsidR="00A26722" w:rsidRDefault="00A26722" w:rsidP="007452DB">
      <w:r>
        <w:separator/>
      </w:r>
    </w:p>
  </w:footnote>
  <w:footnote w:type="continuationSeparator" w:id="0">
    <w:p w14:paraId="7DBBFA0B" w14:textId="77777777" w:rsidR="00A26722" w:rsidRDefault="00A26722" w:rsidP="007452DB">
      <w:r>
        <w:continuationSeparator/>
      </w:r>
    </w:p>
  </w:footnote>
  <w:footnote w:id="1">
    <w:p w14:paraId="797DCC70" w14:textId="2EEC9009" w:rsidR="00E50814" w:rsidRPr="00E50814" w:rsidRDefault="00E50814">
      <w:pPr>
        <w:pStyle w:val="Tekstprzypisudolnego"/>
        <w:rPr>
          <w:i/>
          <w:sz w:val="18"/>
          <w:szCs w:val="18"/>
        </w:rPr>
      </w:pPr>
      <w:r w:rsidRPr="00E50814">
        <w:rPr>
          <w:rStyle w:val="Odwoanieprzypisudolnego"/>
          <w:sz w:val="18"/>
          <w:szCs w:val="18"/>
        </w:rPr>
        <w:footnoteRef/>
      </w:r>
      <w:r w:rsidRPr="00E50814">
        <w:rPr>
          <w:sz w:val="18"/>
          <w:szCs w:val="18"/>
        </w:rPr>
        <w:t xml:space="preserve"> </w:t>
      </w:r>
      <w:r w:rsidRPr="00E50814">
        <w:rPr>
          <w:b/>
          <w:sz w:val="18"/>
          <w:szCs w:val="18"/>
        </w:rPr>
        <w:t>Art. 1 ust. 1, art. 37 ust 1</w:t>
      </w:r>
      <w:r w:rsidRPr="00E50814">
        <w:rPr>
          <w:sz w:val="18"/>
          <w:szCs w:val="18"/>
        </w:rPr>
        <w:t xml:space="preserve"> </w:t>
      </w:r>
      <w:r w:rsidRPr="00E50814">
        <w:rPr>
          <w:i/>
          <w:sz w:val="18"/>
          <w:szCs w:val="18"/>
        </w:rPr>
        <w:t>Ustawy o refundacji leków, środków spożywczych specjalnego przeznaczenia żywieniowego oraz wyrobów medycznych</w:t>
      </w:r>
    </w:p>
  </w:footnote>
  <w:footnote w:id="2">
    <w:p w14:paraId="4187ADA3" w14:textId="445E6E21" w:rsidR="003050F6" w:rsidRPr="003050F6" w:rsidRDefault="003050F6">
      <w:pPr>
        <w:pStyle w:val="Tekstprzypisudolnego"/>
        <w:rPr>
          <w:sz w:val="18"/>
          <w:szCs w:val="18"/>
        </w:rPr>
      </w:pPr>
      <w:r w:rsidRPr="003050F6">
        <w:rPr>
          <w:rStyle w:val="Odwoanieprzypisudolnego"/>
          <w:sz w:val="18"/>
          <w:szCs w:val="18"/>
        </w:rPr>
        <w:footnoteRef/>
      </w:r>
      <w:r w:rsidRPr="003050F6">
        <w:rPr>
          <w:sz w:val="18"/>
          <w:szCs w:val="18"/>
        </w:rPr>
        <w:t xml:space="preserve"> </w:t>
      </w:r>
      <w:r w:rsidRPr="00E50814">
        <w:rPr>
          <w:b/>
          <w:sz w:val="18"/>
          <w:szCs w:val="18"/>
        </w:rPr>
        <w:t>Art. 35</w:t>
      </w:r>
      <w:r w:rsidRPr="003050F6">
        <w:rPr>
          <w:sz w:val="18"/>
          <w:szCs w:val="18"/>
        </w:rPr>
        <w:t xml:space="preserve"> </w:t>
      </w:r>
      <w:r w:rsidRPr="00E50814">
        <w:rPr>
          <w:i/>
          <w:sz w:val="18"/>
          <w:szCs w:val="18"/>
        </w:rPr>
        <w:t>Ustawy o świadczeniach opieki zdrowotnej finansowanych ze środków publicznych</w:t>
      </w:r>
      <w:r w:rsidR="00E50814">
        <w:rPr>
          <w:i/>
          <w:sz w:val="18"/>
          <w:szCs w:val="18"/>
        </w:rPr>
        <w:t>.</w:t>
      </w:r>
    </w:p>
  </w:footnote>
  <w:footnote w:id="3">
    <w:p w14:paraId="032625B3" w14:textId="5A5E7256" w:rsidR="0029069C" w:rsidRPr="0029069C" w:rsidRDefault="0029069C">
      <w:pPr>
        <w:pStyle w:val="Tekstprzypisudolnego"/>
        <w:rPr>
          <w:sz w:val="18"/>
          <w:szCs w:val="18"/>
        </w:rPr>
      </w:pPr>
      <w:r w:rsidRPr="0029069C">
        <w:rPr>
          <w:rStyle w:val="Odwoanieprzypisudolnego"/>
          <w:sz w:val="18"/>
          <w:szCs w:val="18"/>
        </w:rPr>
        <w:footnoteRef/>
      </w:r>
      <w:r w:rsidRPr="0029069C">
        <w:rPr>
          <w:sz w:val="18"/>
          <w:szCs w:val="18"/>
        </w:rPr>
        <w:t xml:space="preserve"> </w:t>
      </w:r>
      <w:r w:rsidRPr="0029069C">
        <w:rPr>
          <w:b/>
          <w:sz w:val="18"/>
          <w:szCs w:val="18"/>
        </w:rPr>
        <w:t>Art. 16 i 9</w:t>
      </w:r>
      <w:r w:rsidRPr="0029069C">
        <w:rPr>
          <w:sz w:val="18"/>
          <w:szCs w:val="18"/>
        </w:rPr>
        <w:t xml:space="preserve"> </w:t>
      </w:r>
      <w:r w:rsidRPr="0029069C">
        <w:rPr>
          <w:i/>
          <w:sz w:val="18"/>
          <w:szCs w:val="18"/>
        </w:rPr>
        <w:t>Ustawy o prawach pacjenta i Rzeczniku Praw Pacjenta.</w:t>
      </w:r>
    </w:p>
  </w:footnote>
  <w:footnote w:id="4">
    <w:p w14:paraId="690A9D79" w14:textId="2F7A9920" w:rsidR="00B21B52" w:rsidRPr="00B21B52" w:rsidRDefault="00B21B52">
      <w:pPr>
        <w:pStyle w:val="Tekstprzypisudolnego"/>
        <w:rPr>
          <w:sz w:val="18"/>
          <w:szCs w:val="18"/>
        </w:rPr>
      </w:pPr>
      <w:r w:rsidRPr="00B21B52">
        <w:rPr>
          <w:rStyle w:val="Odwoanieprzypisudolnego"/>
          <w:sz w:val="18"/>
          <w:szCs w:val="18"/>
        </w:rPr>
        <w:footnoteRef/>
      </w:r>
      <w:r w:rsidRPr="00B21B52">
        <w:rPr>
          <w:sz w:val="18"/>
          <w:szCs w:val="18"/>
        </w:rPr>
        <w:t xml:space="preserve"> </w:t>
      </w:r>
      <w:r w:rsidRPr="00B21B52">
        <w:rPr>
          <w:b/>
          <w:sz w:val="18"/>
          <w:szCs w:val="18"/>
        </w:rPr>
        <w:t>Art. 9</w:t>
      </w:r>
      <w:r w:rsidRPr="00B21B52">
        <w:rPr>
          <w:sz w:val="18"/>
          <w:szCs w:val="18"/>
        </w:rPr>
        <w:t xml:space="preserve"> </w:t>
      </w:r>
      <w:r w:rsidRPr="00B21B52">
        <w:rPr>
          <w:i/>
          <w:sz w:val="18"/>
          <w:szCs w:val="18"/>
        </w:rPr>
        <w:t>Ustawy o prawach pacjenta i Rzeczniku Praw Pacjenta.</w:t>
      </w:r>
    </w:p>
  </w:footnote>
  <w:footnote w:id="5">
    <w:p w14:paraId="2730461F" w14:textId="116AF5BA" w:rsidR="00B21B52" w:rsidRPr="00B21B52" w:rsidRDefault="00B21B52">
      <w:pPr>
        <w:pStyle w:val="Tekstprzypisudolnego"/>
        <w:rPr>
          <w:sz w:val="18"/>
          <w:szCs w:val="18"/>
        </w:rPr>
      </w:pPr>
      <w:r w:rsidRPr="00B21B52">
        <w:rPr>
          <w:rStyle w:val="Odwoanieprzypisudolnego"/>
          <w:sz w:val="18"/>
          <w:szCs w:val="18"/>
        </w:rPr>
        <w:footnoteRef/>
      </w:r>
      <w:r w:rsidRPr="00B21B52">
        <w:rPr>
          <w:sz w:val="18"/>
          <w:szCs w:val="18"/>
        </w:rPr>
        <w:t xml:space="preserve"> </w:t>
      </w:r>
      <w:r w:rsidRPr="00B21B52">
        <w:rPr>
          <w:b/>
          <w:sz w:val="18"/>
          <w:szCs w:val="18"/>
        </w:rPr>
        <w:t xml:space="preserve">Art. 31 </w:t>
      </w:r>
      <w:r w:rsidRPr="00B21B52">
        <w:rPr>
          <w:i/>
          <w:sz w:val="18"/>
          <w:szCs w:val="18"/>
        </w:rPr>
        <w:t>Ustawy</w:t>
      </w:r>
      <w:r w:rsidR="00BE47AC">
        <w:rPr>
          <w:i/>
          <w:sz w:val="18"/>
          <w:szCs w:val="18"/>
        </w:rPr>
        <w:t xml:space="preserve"> </w:t>
      </w:r>
      <w:r w:rsidRPr="00B21B52">
        <w:rPr>
          <w:i/>
          <w:sz w:val="18"/>
          <w:szCs w:val="18"/>
        </w:rPr>
        <w:t>o zawodach lekarza i lekarza dentysty.</w:t>
      </w:r>
    </w:p>
  </w:footnote>
  <w:footnote w:id="6">
    <w:p w14:paraId="61355AE6" w14:textId="4C1EDD47" w:rsidR="0054372E" w:rsidRPr="0054372E" w:rsidRDefault="0054372E">
      <w:pPr>
        <w:pStyle w:val="Tekstprzypisudolnego"/>
        <w:rPr>
          <w:sz w:val="18"/>
          <w:szCs w:val="18"/>
        </w:rPr>
      </w:pPr>
      <w:r w:rsidRPr="0054372E">
        <w:rPr>
          <w:rStyle w:val="Odwoanieprzypisudolnego"/>
          <w:sz w:val="18"/>
          <w:szCs w:val="18"/>
        </w:rPr>
        <w:footnoteRef/>
      </w:r>
      <w:r w:rsidRPr="0054372E">
        <w:rPr>
          <w:sz w:val="18"/>
          <w:szCs w:val="18"/>
        </w:rPr>
        <w:t xml:space="preserve"> </w:t>
      </w:r>
      <w:r w:rsidRPr="0054372E">
        <w:rPr>
          <w:b/>
          <w:sz w:val="18"/>
          <w:szCs w:val="18"/>
        </w:rPr>
        <w:t>Art. 16</w:t>
      </w:r>
      <w:r w:rsidRPr="0054372E">
        <w:rPr>
          <w:sz w:val="18"/>
          <w:szCs w:val="18"/>
        </w:rPr>
        <w:t xml:space="preserve"> </w:t>
      </w:r>
      <w:r w:rsidRPr="0054372E">
        <w:rPr>
          <w:i/>
          <w:sz w:val="18"/>
          <w:szCs w:val="18"/>
        </w:rPr>
        <w:t>Ustawy o zawodach pielęgniarki i położnej</w:t>
      </w:r>
      <w:r w:rsidRPr="0054372E">
        <w:rPr>
          <w:sz w:val="18"/>
          <w:szCs w:val="18"/>
        </w:rPr>
        <w:t>.</w:t>
      </w:r>
    </w:p>
  </w:footnote>
  <w:footnote w:id="7">
    <w:p w14:paraId="473062A7" w14:textId="11592FCF" w:rsidR="00391D8D" w:rsidRPr="00391D8D" w:rsidRDefault="00391D8D">
      <w:pPr>
        <w:pStyle w:val="Tekstprzypisudolnego"/>
        <w:rPr>
          <w:sz w:val="18"/>
          <w:szCs w:val="18"/>
        </w:rPr>
      </w:pPr>
      <w:r w:rsidRPr="00391D8D">
        <w:rPr>
          <w:rStyle w:val="Odwoanieprzypisudolnego"/>
          <w:sz w:val="18"/>
          <w:szCs w:val="18"/>
        </w:rPr>
        <w:footnoteRef/>
      </w:r>
      <w:r w:rsidRPr="00391D8D">
        <w:rPr>
          <w:sz w:val="18"/>
          <w:szCs w:val="18"/>
        </w:rPr>
        <w:t xml:space="preserve"> </w:t>
      </w:r>
      <w:r w:rsidRPr="00391D8D">
        <w:rPr>
          <w:b/>
          <w:sz w:val="18"/>
          <w:szCs w:val="18"/>
        </w:rPr>
        <w:t xml:space="preserve">Art. 32 ust 7 </w:t>
      </w:r>
      <w:r w:rsidRPr="00391D8D">
        <w:rPr>
          <w:i/>
          <w:sz w:val="18"/>
          <w:szCs w:val="18"/>
        </w:rPr>
        <w:t>Ustawy o zawodach lekarza i lekarza dentysty.</w:t>
      </w:r>
    </w:p>
  </w:footnote>
  <w:footnote w:id="8">
    <w:p w14:paraId="54DE4667" w14:textId="0C86C0DE" w:rsidR="00391D8D" w:rsidRPr="00391D8D" w:rsidRDefault="00391D8D">
      <w:pPr>
        <w:pStyle w:val="Tekstprzypisudolnego"/>
        <w:rPr>
          <w:sz w:val="18"/>
          <w:szCs w:val="18"/>
        </w:rPr>
      </w:pPr>
      <w:r w:rsidRPr="00391D8D">
        <w:rPr>
          <w:rStyle w:val="Odwoanieprzypisudolnego"/>
          <w:sz w:val="18"/>
          <w:szCs w:val="18"/>
        </w:rPr>
        <w:footnoteRef/>
      </w:r>
      <w:r w:rsidRPr="00391D8D">
        <w:rPr>
          <w:sz w:val="18"/>
          <w:szCs w:val="18"/>
        </w:rPr>
        <w:t xml:space="preserve"> </w:t>
      </w:r>
      <w:r w:rsidR="00EE73B0" w:rsidRPr="00EE73B0">
        <w:rPr>
          <w:b/>
          <w:sz w:val="18"/>
          <w:szCs w:val="18"/>
        </w:rPr>
        <w:t xml:space="preserve">Art. 34 </w:t>
      </w:r>
      <w:r w:rsidR="00EE73B0" w:rsidRPr="00EE73B0">
        <w:rPr>
          <w:i/>
          <w:sz w:val="18"/>
          <w:szCs w:val="18"/>
        </w:rPr>
        <w:t>Ustawy o zawodach lekarza i lekarza dentysty</w:t>
      </w:r>
      <w:r w:rsidR="00EE73B0">
        <w:rPr>
          <w:i/>
          <w:sz w:val="18"/>
          <w:szCs w:val="18"/>
        </w:rPr>
        <w:t>.</w:t>
      </w:r>
    </w:p>
  </w:footnote>
  <w:footnote w:id="9">
    <w:p w14:paraId="3B7ADAF4" w14:textId="2A6E53EC" w:rsidR="0004052C" w:rsidRPr="0004052C" w:rsidRDefault="0004052C">
      <w:pPr>
        <w:pStyle w:val="Tekstprzypisudolnego"/>
        <w:rPr>
          <w:i/>
          <w:sz w:val="18"/>
          <w:szCs w:val="18"/>
        </w:rPr>
      </w:pPr>
      <w:r w:rsidRPr="0004052C">
        <w:rPr>
          <w:rStyle w:val="Odwoanieprzypisudolnego"/>
          <w:sz w:val="18"/>
          <w:szCs w:val="18"/>
        </w:rPr>
        <w:footnoteRef/>
      </w:r>
      <w:r w:rsidRPr="0004052C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Art. 23 </w:t>
      </w:r>
      <w:r>
        <w:rPr>
          <w:i/>
          <w:sz w:val="18"/>
          <w:szCs w:val="18"/>
        </w:rPr>
        <w:t>Kodeksu cywilnego.</w:t>
      </w:r>
    </w:p>
  </w:footnote>
  <w:footnote w:id="10">
    <w:p w14:paraId="460A296B" w14:textId="4B0B4529" w:rsidR="002045E5" w:rsidRPr="002045E5" w:rsidRDefault="002045E5">
      <w:pPr>
        <w:pStyle w:val="Tekstprzypisudolnego"/>
        <w:rPr>
          <w:sz w:val="18"/>
          <w:szCs w:val="18"/>
        </w:rPr>
      </w:pPr>
      <w:r w:rsidRPr="002045E5">
        <w:rPr>
          <w:rStyle w:val="Odwoanieprzypisudolnego"/>
          <w:sz w:val="18"/>
          <w:szCs w:val="18"/>
        </w:rPr>
        <w:footnoteRef/>
      </w:r>
      <w:r w:rsidRPr="002045E5">
        <w:rPr>
          <w:sz w:val="18"/>
          <w:szCs w:val="18"/>
        </w:rPr>
        <w:t xml:space="preserve"> </w:t>
      </w:r>
      <w:r w:rsidRPr="002045E5">
        <w:rPr>
          <w:b/>
          <w:sz w:val="18"/>
          <w:szCs w:val="18"/>
        </w:rPr>
        <w:t>Art. 42 ust 1 i 2</w:t>
      </w:r>
      <w:r w:rsidRPr="002045E5">
        <w:rPr>
          <w:sz w:val="18"/>
          <w:szCs w:val="18"/>
        </w:rPr>
        <w:t xml:space="preserve"> </w:t>
      </w:r>
      <w:r w:rsidRPr="002045E5">
        <w:rPr>
          <w:i/>
          <w:sz w:val="18"/>
          <w:szCs w:val="18"/>
        </w:rPr>
        <w:t>Ustawy o prawach pacjenta i Rzeczniku Praw Pacjenta.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0D2"/>
    <w:multiLevelType w:val="hybridMultilevel"/>
    <w:tmpl w:val="530076AC"/>
    <w:lvl w:ilvl="0" w:tplc="C096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170FB"/>
    <w:multiLevelType w:val="hybridMultilevel"/>
    <w:tmpl w:val="5740A816"/>
    <w:lvl w:ilvl="0" w:tplc="2640B0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046A"/>
    <w:multiLevelType w:val="hybridMultilevel"/>
    <w:tmpl w:val="2EB2EA3A"/>
    <w:lvl w:ilvl="0" w:tplc="C096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4425C"/>
    <w:multiLevelType w:val="hybridMultilevel"/>
    <w:tmpl w:val="EF1A4A66"/>
    <w:lvl w:ilvl="0" w:tplc="C096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84A96"/>
    <w:multiLevelType w:val="hybridMultilevel"/>
    <w:tmpl w:val="1F905348"/>
    <w:lvl w:ilvl="0" w:tplc="177C2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16F04"/>
    <w:multiLevelType w:val="hybridMultilevel"/>
    <w:tmpl w:val="6C823E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7B419D"/>
    <w:multiLevelType w:val="hybridMultilevel"/>
    <w:tmpl w:val="B0EE21A8"/>
    <w:lvl w:ilvl="0" w:tplc="C096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70482"/>
    <w:multiLevelType w:val="hybridMultilevel"/>
    <w:tmpl w:val="1CFE87E4"/>
    <w:lvl w:ilvl="0" w:tplc="C096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059F1"/>
    <w:multiLevelType w:val="hybridMultilevel"/>
    <w:tmpl w:val="5C28E19A"/>
    <w:lvl w:ilvl="0" w:tplc="C096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63B2D"/>
    <w:multiLevelType w:val="hybridMultilevel"/>
    <w:tmpl w:val="C8F87A2A"/>
    <w:lvl w:ilvl="0" w:tplc="177C2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63504"/>
    <w:multiLevelType w:val="hybridMultilevel"/>
    <w:tmpl w:val="14542E9A"/>
    <w:lvl w:ilvl="0" w:tplc="177C2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C6DFD"/>
    <w:multiLevelType w:val="hybridMultilevel"/>
    <w:tmpl w:val="C16A8578"/>
    <w:lvl w:ilvl="0" w:tplc="C096E5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B7F35B7"/>
    <w:multiLevelType w:val="hybridMultilevel"/>
    <w:tmpl w:val="D8FE2912"/>
    <w:lvl w:ilvl="0" w:tplc="177C2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E666D"/>
    <w:multiLevelType w:val="hybridMultilevel"/>
    <w:tmpl w:val="63E84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D28F8"/>
    <w:multiLevelType w:val="hybridMultilevel"/>
    <w:tmpl w:val="13760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5"/>
  </w:num>
  <w:num w:numId="5">
    <w:abstractNumId w:val="13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73"/>
    <w:rsid w:val="00005F7F"/>
    <w:rsid w:val="0004052C"/>
    <w:rsid w:val="00044870"/>
    <w:rsid w:val="000E40D7"/>
    <w:rsid w:val="000F6A2D"/>
    <w:rsid w:val="00113D9D"/>
    <w:rsid w:val="00115E9C"/>
    <w:rsid w:val="00121810"/>
    <w:rsid w:val="00150995"/>
    <w:rsid w:val="00164B09"/>
    <w:rsid w:val="001D4808"/>
    <w:rsid w:val="001E5504"/>
    <w:rsid w:val="002045E5"/>
    <w:rsid w:val="00230B76"/>
    <w:rsid w:val="00233973"/>
    <w:rsid w:val="002377B5"/>
    <w:rsid w:val="00242069"/>
    <w:rsid w:val="002456A6"/>
    <w:rsid w:val="00272D51"/>
    <w:rsid w:val="0029069C"/>
    <w:rsid w:val="002A0B93"/>
    <w:rsid w:val="002A214E"/>
    <w:rsid w:val="002B1324"/>
    <w:rsid w:val="002C0061"/>
    <w:rsid w:val="002D6F81"/>
    <w:rsid w:val="002F5411"/>
    <w:rsid w:val="003050F6"/>
    <w:rsid w:val="00306C90"/>
    <w:rsid w:val="00334E0A"/>
    <w:rsid w:val="003364A1"/>
    <w:rsid w:val="00374F80"/>
    <w:rsid w:val="00391D8D"/>
    <w:rsid w:val="0039202D"/>
    <w:rsid w:val="003968EA"/>
    <w:rsid w:val="003B55D6"/>
    <w:rsid w:val="003C6179"/>
    <w:rsid w:val="003D0E29"/>
    <w:rsid w:val="003D7E2C"/>
    <w:rsid w:val="003F7B6B"/>
    <w:rsid w:val="004302F8"/>
    <w:rsid w:val="00432F08"/>
    <w:rsid w:val="004952E6"/>
    <w:rsid w:val="004C5340"/>
    <w:rsid w:val="00533676"/>
    <w:rsid w:val="0054372E"/>
    <w:rsid w:val="00592C73"/>
    <w:rsid w:val="00596764"/>
    <w:rsid w:val="0061591A"/>
    <w:rsid w:val="00626BDF"/>
    <w:rsid w:val="00665249"/>
    <w:rsid w:val="00674486"/>
    <w:rsid w:val="006D6740"/>
    <w:rsid w:val="007201FF"/>
    <w:rsid w:val="00733FC7"/>
    <w:rsid w:val="00736116"/>
    <w:rsid w:val="007452DB"/>
    <w:rsid w:val="00752DF4"/>
    <w:rsid w:val="00764EED"/>
    <w:rsid w:val="0078741F"/>
    <w:rsid w:val="00827FDC"/>
    <w:rsid w:val="00842257"/>
    <w:rsid w:val="00855E12"/>
    <w:rsid w:val="00891BED"/>
    <w:rsid w:val="008D1F41"/>
    <w:rsid w:val="008D20F5"/>
    <w:rsid w:val="008F1807"/>
    <w:rsid w:val="0090326F"/>
    <w:rsid w:val="00926FBD"/>
    <w:rsid w:val="00927CE7"/>
    <w:rsid w:val="00946EF3"/>
    <w:rsid w:val="009519F3"/>
    <w:rsid w:val="009616EB"/>
    <w:rsid w:val="00991001"/>
    <w:rsid w:val="00994694"/>
    <w:rsid w:val="009A4F31"/>
    <w:rsid w:val="009A4FEC"/>
    <w:rsid w:val="009D2E2E"/>
    <w:rsid w:val="009F60BB"/>
    <w:rsid w:val="00A04B81"/>
    <w:rsid w:val="00A15CB1"/>
    <w:rsid w:val="00A26722"/>
    <w:rsid w:val="00A36449"/>
    <w:rsid w:val="00A867E8"/>
    <w:rsid w:val="00AB5E3D"/>
    <w:rsid w:val="00B21B52"/>
    <w:rsid w:val="00B46401"/>
    <w:rsid w:val="00B508BA"/>
    <w:rsid w:val="00B74F76"/>
    <w:rsid w:val="00BB50DA"/>
    <w:rsid w:val="00BE3C01"/>
    <w:rsid w:val="00BE47AC"/>
    <w:rsid w:val="00C07247"/>
    <w:rsid w:val="00C34384"/>
    <w:rsid w:val="00C556FD"/>
    <w:rsid w:val="00C649EB"/>
    <w:rsid w:val="00C837ED"/>
    <w:rsid w:val="00CA23E4"/>
    <w:rsid w:val="00CC3077"/>
    <w:rsid w:val="00CE3B72"/>
    <w:rsid w:val="00CE5FF0"/>
    <w:rsid w:val="00CF4085"/>
    <w:rsid w:val="00D03EC4"/>
    <w:rsid w:val="00D642B9"/>
    <w:rsid w:val="00D6525C"/>
    <w:rsid w:val="00D91498"/>
    <w:rsid w:val="00DA19EE"/>
    <w:rsid w:val="00DA2B93"/>
    <w:rsid w:val="00DD4A20"/>
    <w:rsid w:val="00E50814"/>
    <w:rsid w:val="00E5275E"/>
    <w:rsid w:val="00E56044"/>
    <w:rsid w:val="00EB26EF"/>
    <w:rsid w:val="00EB60C9"/>
    <w:rsid w:val="00EC4F78"/>
    <w:rsid w:val="00ED1813"/>
    <w:rsid w:val="00EE73B0"/>
    <w:rsid w:val="00EE7E4C"/>
    <w:rsid w:val="00EF27FA"/>
    <w:rsid w:val="00F1073F"/>
    <w:rsid w:val="00F2391D"/>
    <w:rsid w:val="00F241C2"/>
    <w:rsid w:val="00F27BC3"/>
    <w:rsid w:val="00F565F6"/>
    <w:rsid w:val="00F66B64"/>
    <w:rsid w:val="00F73A13"/>
    <w:rsid w:val="00F7507F"/>
    <w:rsid w:val="00FB2EE8"/>
    <w:rsid w:val="00F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3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52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33676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533676"/>
    <w:rPr>
      <w:rFonts w:eastAsiaTheme="minorEastAsia"/>
      <w:sz w:val="22"/>
      <w:szCs w:val="22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45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745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2DB"/>
  </w:style>
  <w:style w:type="character" w:styleId="Numerstrony">
    <w:name w:val="page number"/>
    <w:basedOn w:val="Domylnaczcionkaakapitu"/>
    <w:uiPriority w:val="99"/>
    <w:semiHidden/>
    <w:unhideWhenUsed/>
    <w:rsid w:val="007452DB"/>
  </w:style>
  <w:style w:type="paragraph" w:styleId="Nagwekspisutreci">
    <w:name w:val="TOC Heading"/>
    <w:basedOn w:val="Nagwek1"/>
    <w:next w:val="Normalny"/>
    <w:uiPriority w:val="39"/>
    <w:unhideWhenUsed/>
    <w:qFormat/>
    <w:rsid w:val="00CF408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F4085"/>
    <w:pPr>
      <w:ind w:left="240"/>
    </w:pPr>
    <w:rPr>
      <w:smallCap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CF4085"/>
    <w:pPr>
      <w:spacing w:before="120"/>
    </w:pPr>
    <w:rPr>
      <w:b/>
      <w:bCs/>
      <w: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F4085"/>
    <w:pPr>
      <w:ind w:left="480"/>
    </w:pPr>
    <w:rPr>
      <w:i/>
      <w:iC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F408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F408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F408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F408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F408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F4085"/>
    <w:pPr>
      <w:ind w:left="1920"/>
    </w:pPr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40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4A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13D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3D9D"/>
  </w:style>
  <w:style w:type="character" w:styleId="Odwoanieprzypisudolnego">
    <w:name w:val="footnote reference"/>
    <w:basedOn w:val="Domylnaczcionkaakapitu"/>
    <w:uiPriority w:val="99"/>
    <w:unhideWhenUsed/>
    <w:rsid w:val="00113D9D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E47AC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E47AC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4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52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33676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533676"/>
    <w:rPr>
      <w:rFonts w:eastAsiaTheme="minorEastAsia"/>
      <w:sz w:val="22"/>
      <w:szCs w:val="22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45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745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2DB"/>
  </w:style>
  <w:style w:type="character" w:styleId="Numerstrony">
    <w:name w:val="page number"/>
    <w:basedOn w:val="Domylnaczcionkaakapitu"/>
    <w:uiPriority w:val="99"/>
    <w:semiHidden/>
    <w:unhideWhenUsed/>
    <w:rsid w:val="007452DB"/>
  </w:style>
  <w:style w:type="paragraph" w:styleId="Nagwekspisutreci">
    <w:name w:val="TOC Heading"/>
    <w:basedOn w:val="Nagwek1"/>
    <w:next w:val="Normalny"/>
    <w:uiPriority w:val="39"/>
    <w:unhideWhenUsed/>
    <w:qFormat/>
    <w:rsid w:val="00CF408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F4085"/>
    <w:pPr>
      <w:ind w:left="240"/>
    </w:pPr>
    <w:rPr>
      <w:smallCap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CF4085"/>
    <w:pPr>
      <w:spacing w:before="120"/>
    </w:pPr>
    <w:rPr>
      <w:b/>
      <w:bCs/>
      <w: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F4085"/>
    <w:pPr>
      <w:ind w:left="480"/>
    </w:pPr>
    <w:rPr>
      <w:i/>
      <w:iC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F408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F408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F408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F408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F408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F4085"/>
    <w:pPr>
      <w:ind w:left="1920"/>
    </w:pPr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40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4A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13D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3D9D"/>
  </w:style>
  <w:style w:type="character" w:styleId="Odwoanieprzypisudolnego">
    <w:name w:val="footnote reference"/>
    <w:basedOn w:val="Domylnaczcionkaakapitu"/>
    <w:uiPriority w:val="99"/>
    <w:unhideWhenUsed/>
    <w:rsid w:val="00113D9D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E47AC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E47AC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4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a.banaszewska@aimkancelaria.pl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56F39D-044E-4668-B9F6-BE57E455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4064</Words>
  <Characters>24388</Characters>
  <Application>Microsoft Office Word</Application>
  <DocSecurity>0</DocSecurity>
  <Lines>203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Pacjent i jego prawa</vt:lpstr>
      <vt:lpstr>Wstęp. </vt:lpstr>
      <vt:lpstr>Prawa pacjenta w prawie Unii Europejskiej. </vt:lpstr>
      <vt:lpstr>Prawa pacjenta w prawie krajowym. </vt:lpstr>
      <vt:lpstr>Prawo dostępu do świadczeń gwarantowanych. </vt:lpstr>
      <vt:lpstr>Lek jako świadczenie gwarantowane. </vt:lpstr>
      <vt:lpstr>Prawo pacjenta do wyrażenia zgody na świadczenie opieki zdrowotnej lub sprzeciwu</vt:lpstr>
      <vt:lpstr>Ochrona praw pacjenta. </vt:lpstr>
      <vt:lpstr>Wnioski. </vt:lpstr>
    </vt:vector>
  </TitlesOfParts>
  <Company>Fundacja centrum inicjatyw. gospodarka i zdrowie</Company>
  <LinksUpToDate>false</LinksUpToDate>
  <CharactersWithSpaces>28396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Pacjent i jego prawa</dc:title>
  <dc:subject>Europejski dzień pacjenta, materiał dla dziennikarzy</dc:subject>
  <dc:creator>Anna Banaszewska</dc:creator>
  <cp:keywords/>
  <dc:description/>
  <cp:lastModifiedBy>Igor Grzesiak </cp:lastModifiedBy>
  <cp:revision>6</cp:revision>
  <dcterms:created xsi:type="dcterms:W3CDTF">2016-04-14T14:01:00Z</dcterms:created>
  <dcterms:modified xsi:type="dcterms:W3CDTF">2016-04-15T14:02:00Z</dcterms:modified>
</cp:coreProperties>
</file>