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63" w:rsidRPr="002B1302" w:rsidRDefault="00B31163" w:rsidP="00950949">
      <w:pPr>
        <w:spacing w:before="24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2B1302">
        <w:rPr>
          <w:rFonts w:ascii="Arial" w:hAnsi="Arial" w:cs="Arial"/>
          <w:sz w:val="22"/>
          <w:szCs w:val="22"/>
          <w:lang w:val="pl-PL" w:eastAsia="pl-PL"/>
        </w:rPr>
        <w:t xml:space="preserve">Warszawa, </w:t>
      </w:r>
      <w:r w:rsidR="00950949">
        <w:rPr>
          <w:rFonts w:ascii="Arial" w:hAnsi="Arial" w:cs="Arial"/>
          <w:sz w:val="22"/>
          <w:szCs w:val="22"/>
          <w:lang w:val="pl-PL" w:eastAsia="pl-PL"/>
        </w:rPr>
        <w:t>26</w:t>
      </w:r>
      <w:r w:rsidR="0063189F">
        <w:rPr>
          <w:rFonts w:ascii="Arial" w:hAnsi="Arial" w:cs="Arial"/>
          <w:sz w:val="22"/>
          <w:szCs w:val="22"/>
          <w:lang w:val="pl-PL" w:eastAsia="pl-PL"/>
        </w:rPr>
        <w:t xml:space="preserve"> lipca</w:t>
      </w:r>
      <w:r w:rsidR="009C5D44" w:rsidRPr="002B130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2B1302">
        <w:rPr>
          <w:rFonts w:ascii="Arial" w:hAnsi="Arial" w:cs="Arial"/>
          <w:sz w:val="22"/>
          <w:szCs w:val="22"/>
          <w:lang w:val="pl-PL" w:eastAsia="pl-PL"/>
        </w:rPr>
        <w:t>2018</w:t>
      </w:r>
      <w:r w:rsidRPr="002B1302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:rsidR="005527AD" w:rsidRDefault="003E3E32" w:rsidP="00950949">
      <w:pPr>
        <w:spacing w:before="240" w:after="240"/>
        <w:jc w:val="center"/>
        <w:rPr>
          <w:rFonts w:ascii="Arial" w:hAnsi="Arial" w:cs="Arial"/>
          <w:b/>
          <w:sz w:val="40"/>
          <w:szCs w:val="40"/>
          <w:lang w:val="pl-PL"/>
        </w:rPr>
      </w:pPr>
      <w:r>
        <w:rPr>
          <w:rFonts w:ascii="Arial" w:hAnsi="Arial" w:cs="Arial"/>
          <w:b/>
          <w:sz w:val="40"/>
          <w:szCs w:val="40"/>
          <w:lang w:val="pl-PL"/>
        </w:rPr>
        <w:t>Wakacyjny prezent od szefa</w:t>
      </w:r>
    </w:p>
    <w:p w:rsidR="0027407E" w:rsidRPr="002B1302" w:rsidRDefault="003E3E32" w:rsidP="00153C70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E3E32">
        <w:rPr>
          <w:rFonts w:ascii="Arial" w:hAnsi="Arial" w:cs="Arial"/>
          <w:b/>
          <w:sz w:val="22"/>
          <w:szCs w:val="22"/>
          <w:lang w:val="pl-PL"/>
        </w:rPr>
        <w:t>W portfelach większości wczasowiczów nie znajdziemy „prezentów” od ich pracodawców</w:t>
      </w:r>
      <w:r w:rsidR="008902B5">
        <w:rPr>
          <w:rFonts w:ascii="Arial" w:hAnsi="Arial" w:cs="Arial"/>
          <w:b/>
          <w:sz w:val="22"/>
          <w:szCs w:val="22"/>
          <w:lang w:val="pl-PL"/>
        </w:rPr>
        <w:t>. Jak pokazują wynik</w:t>
      </w:r>
      <w:r w:rsidR="00431EDD">
        <w:rPr>
          <w:rFonts w:ascii="Arial" w:hAnsi="Arial" w:cs="Arial"/>
          <w:b/>
          <w:sz w:val="22"/>
          <w:szCs w:val="22"/>
          <w:lang w:val="pl-PL"/>
        </w:rPr>
        <w:t>i</w:t>
      </w:r>
      <w:r w:rsidR="008902B5">
        <w:rPr>
          <w:rFonts w:ascii="Arial" w:hAnsi="Arial" w:cs="Arial"/>
          <w:b/>
          <w:sz w:val="22"/>
          <w:szCs w:val="22"/>
          <w:lang w:val="pl-PL"/>
        </w:rPr>
        <w:t xml:space="preserve"> badania „Drogowskaz Motywacyjny 2018”</w:t>
      </w:r>
      <w:r w:rsidR="00F11D8F">
        <w:rPr>
          <w:rFonts w:ascii="Arial" w:hAnsi="Arial" w:cs="Arial"/>
          <w:b/>
          <w:sz w:val="22"/>
          <w:szCs w:val="22"/>
          <w:lang w:val="pl-PL"/>
        </w:rPr>
        <w:t>,</w:t>
      </w:r>
      <w:r w:rsidRPr="003E3E32">
        <w:rPr>
          <w:rFonts w:ascii="Arial" w:hAnsi="Arial" w:cs="Arial"/>
          <w:b/>
          <w:sz w:val="22"/>
          <w:szCs w:val="22"/>
          <w:lang w:val="pl-PL"/>
        </w:rPr>
        <w:t xml:space="preserve"> dodatkowe świadczenia </w:t>
      </w:r>
      <w:r w:rsidR="008902B5">
        <w:rPr>
          <w:rFonts w:ascii="Arial" w:hAnsi="Arial" w:cs="Arial"/>
          <w:b/>
          <w:sz w:val="22"/>
          <w:szCs w:val="22"/>
          <w:lang w:val="pl-PL"/>
        </w:rPr>
        <w:t xml:space="preserve">w okresie wakacyjnym </w:t>
      </w:r>
      <w:r w:rsidRPr="003E3E32">
        <w:rPr>
          <w:rFonts w:ascii="Arial" w:hAnsi="Arial" w:cs="Arial"/>
          <w:b/>
          <w:sz w:val="22"/>
          <w:szCs w:val="22"/>
          <w:lang w:val="pl-PL"/>
        </w:rPr>
        <w:t xml:space="preserve">przyznaje swoim pracownikom tylko 1 na 5 firm działających w Polsce. </w:t>
      </w:r>
      <w:r w:rsidR="008902B5">
        <w:rPr>
          <w:rFonts w:ascii="Arial" w:hAnsi="Arial" w:cs="Arial"/>
          <w:b/>
          <w:sz w:val="22"/>
          <w:szCs w:val="22"/>
          <w:lang w:val="pl-PL"/>
        </w:rPr>
        <w:t xml:space="preserve">Czy warto motywować urlopowiczów i jak to zrobić najlepiej? </w:t>
      </w:r>
    </w:p>
    <w:p w:rsidR="0027407E" w:rsidRPr="002B1302" w:rsidRDefault="0027407E" w:rsidP="005C0F7D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3E32">
        <w:rPr>
          <w:rFonts w:ascii="Arial" w:hAnsi="Arial" w:cs="Arial"/>
          <w:sz w:val="22"/>
          <w:szCs w:val="22"/>
          <w:lang w:val="pl-PL"/>
        </w:rPr>
        <w:t>Według szacunków Ministerstwa Rodziny, Pracy i Polit</w:t>
      </w:r>
      <w:r>
        <w:rPr>
          <w:rFonts w:ascii="Arial" w:hAnsi="Arial" w:cs="Arial"/>
          <w:sz w:val="22"/>
          <w:szCs w:val="22"/>
          <w:lang w:val="pl-PL"/>
        </w:rPr>
        <w:t xml:space="preserve">yki Społecznej stopa bezrobocia </w:t>
      </w:r>
      <w:r w:rsidRPr="003E3E32">
        <w:rPr>
          <w:rFonts w:ascii="Arial" w:hAnsi="Arial" w:cs="Arial"/>
          <w:sz w:val="22"/>
          <w:szCs w:val="22"/>
          <w:lang w:val="pl-PL"/>
        </w:rPr>
        <w:t xml:space="preserve">rejestrowanego w czerwcu wyniosła 5,9 proc. To aż o 1,1 </w:t>
      </w:r>
      <w:proofErr w:type="spellStart"/>
      <w:r w:rsidRPr="003E3E32">
        <w:rPr>
          <w:rFonts w:ascii="Arial" w:hAnsi="Arial" w:cs="Arial"/>
          <w:sz w:val="22"/>
          <w:szCs w:val="22"/>
          <w:lang w:val="pl-PL"/>
        </w:rPr>
        <w:t>p.p</w:t>
      </w:r>
      <w:proofErr w:type="spellEnd"/>
      <w:r w:rsidRPr="003E3E32">
        <w:rPr>
          <w:rFonts w:ascii="Arial" w:hAnsi="Arial" w:cs="Arial"/>
          <w:sz w:val="22"/>
          <w:szCs w:val="22"/>
          <w:lang w:val="pl-PL"/>
        </w:rPr>
        <w:t xml:space="preserve">. mniej niż przed rokiem i o 0,2 </w:t>
      </w:r>
      <w:proofErr w:type="spellStart"/>
      <w:r w:rsidRPr="003E3E32">
        <w:rPr>
          <w:rFonts w:ascii="Arial" w:hAnsi="Arial" w:cs="Arial"/>
          <w:sz w:val="22"/>
          <w:szCs w:val="22"/>
          <w:lang w:val="pl-PL"/>
        </w:rPr>
        <w:t>p.p</w:t>
      </w:r>
      <w:proofErr w:type="spellEnd"/>
      <w:r w:rsidRPr="003E3E32">
        <w:rPr>
          <w:rFonts w:ascii="Arial" w:hAnsi="Arial" w:cs="Arial"/>
          <w:sz w:val="22"/>
          <w:szCs w:val="22"/>
          <w:lang w:val="pl-PL"/>
        </w:rPr>
        <w:t>. mniej niż w maju. Liczba bezrobotnych spadła już poniżej miliona.</w:t>
      </w:r>
    </w:p>
    <w:p w:rsidR="003E3E32" w:rsidRP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3E32">
        <w:rPr>
          <w:rFonts w:ascii="Arial" w:hAnsi="Arial" w:cs="Arial"/>
          <w:sz w:val="22"/>
          <w:szCs w:val="22"/>
          <w:lang w:val="pl-PL"/>
        </w:rPr>
        <w:t xml:space="preserve">Niskie bezrobocie to dobra wiadomość dla osób poszukujących zatrudnienia, które mogą obecnie wybierać spośród dużej </w:t>
      </w:r>
      <w:r>
        <w:rPr>
          <w:rFonts w:ascii="Arial" w:hAnsi="Arial" w:cs="Arial"/>
          <w:sz w:val="22"/>
          <w:szCs w:val="22"/>
          <w:lang w:val="pl-PL"/>
        </w:rPr>
        <w:t>puli</w:t>
      </w:r>
      <w:r w:rsidRPr="003E3E32">
        <w:rPr>
          <w:rFonts w:ascii="Arial" w:hAnsi="Arial" w:cs="Arial"/>
          <w:sz w:val="22"/>
          <w:szCs w:val="22"/>
          <w:lang w:val="pl-PL"/>
        </w:rPr>
        <w:t xml:space="preserve"> ofert pracy. Z coraz większymi wyzwaniami mierzą się z kolei działy firm odpowiedzialne za zarządzanie zasobami ludzkimi. </w:t>
      </w:r>
      <w:r w:rsidR="00431EDD">
        <w:rPr>
          <w:rFonts w:ascii="Arial" w:hAnsi="Arial" w:cs="Arial"/>
          <w:sz w:val="22"/>
          <w:szCs w:val="22"/>
          <w:lang w:val="pl-PL"/>
        </w:rPr>
        <w:t>C</w:t>
      </w:r>
      <w:r w:rsidRPr="003E3E32">
        <w:rPr>
          <w:rFonts w:ascii="Arial" w:hAnsi="Arial" w:cs="Arial"/>
          <w:sz w:val="22"/>
          <w:szCs w:val="22"/>
          <w:lang w:val="pl-PL"/>
        </w:rPr>
        <w:t>hcąc przyciągnąć do firmy utalentowanych kandydatów i utrzymać w niej najbardziej cenionych pracowników</w:t>
      </w:r>
      <w:r w:rsidR="00950949">
        <w:rPr>
          <w:rFonts w:ascii="Arial" w:hAnsi="Arial" w:cs="Arial"/>
          <w:sz w:val="22"/>
          <w:szCs w:val="22"/>
          <w:lang w:val="pl-PL"/>
        </w:rPr>
        <w:t>,</w:t>
      </w:r>
      <w:r w:rsidR="00431EDD">
        <w:rPr>
          <w:rFonts w:ascii="Arial" w:hAnsi="Arial" w:cs="Arial"/>
          <w:sz w:val="22"/>
          <w:szCs w:val="22"/>
          <w:lang w:val="pl-PL"/>
        </w:rPr>
        <w:t xml:space="preserve"> m</w:t>
      </w:r>
      <w:r w:rsidR="00431EDD" w:rsidRPr="003E3E32">
        <w:rPr>
          <w:rFonts w:ascii="Arial" w:hAnsi="Arial" w:cs="Arial"/>
          <w:sz w:val="22"/>
          <w:szCs w:val="22"/>
          <w:lang w:val="pl-PL"/>
        </w:rPr>
        <w:t>uszą dbać o atrakcyjne warunki zatrudnienia</w:t>
      </w:r>
      <w:r w:rsidRPr="003E3E32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E3E32" w:rsidRPr="003E3E32" w:rsidRDefault="003E3E32" w:rsidP="003E3E32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858FC" w:rsidRPr="002B1302" w:rsidRDefault="003E3E32" w:rsidP="003E3E32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3E3E32">
        <w:rPr>
          <w:rFonts w:ascii="Arial" w:hAnsi="Arial" w:cs="Arial"/>
          <w:sz w:val="22"/>
          <w:szCs w:val="22"/>
          <w:lang w:val="pl-PL"/>
        </w:rPr>
        <w:t xml:space="preserve">W tym kontekście obserwujemy stały rozwój katalogu świadczeń pozapłacowych, oferowanych przez pracodawców. Jak wynika z </w:t>
      </w:r>
      <w:r w:rsidRPr="003E3E32">
        <w:rPr>
          <w:rFonts w:ascii="Arial" w:hAnsi="Arial" w:cs="Arial"/>
          <w:b/>
          <w:sz w:val="22"/>
          <w:szCs w:val="22"/>
          <w:lang w:val="pl-PL"/>
        </w:rPr>
        <w:t xml:space="preserve">badania „Drogowskaz motywacyjny 2018”, przeprowadzonego przez Kantar </w:t>
      </w:r>
      <w:proofErr w:type="spellStart"/>
      <w:r w:rsidRPr="003E3E32">
        <w:rPr>
          <w:rFonts w:ascii="Arial" w:hAnsi="Arial" w:cs="Arial"/>
          <w:b/>
          <w:sz w:val="22"/>
          <w:szCs w:val="22"/>
          <w:lang w:val="pl-PL"/>
        </w:rPr>
        <w:t>Millward</w:t>
      </w:r>
      <w:proofErr w:type="spellEnd"/>
      <w:r w:rsidRPr="003E3E32">
        <w:rPr>
          <w:rFonts w:ascii="Arial" w:hAnsi="Arial" w:cs="Arial"/>
          <w:b/>
          <w:sz w:val="22"/>
          <w:szCs w:val="22"/>
          <w:lang w:val="pl-PL"/>
        </w:rPr>
        <w:t xml:space="preserve"> Brown na zlecenie Sodexo Benefits and Reward</w:t>
      </w:r>
      <w:r w:rsidR="008902B5">
        <w:rPr>
          <w:rFonts w:ascii="Arial" w:hAnsi="Arial" w:cs="Arial"/>
          <w:b/>
          <w:sz w:val="22"/>
          <w:szCs w:val="22"/>
          <w:lang w:val="pl-PL"/>
        </w:rPr>
        <w:t>s</w:t>
      </w:r>
      <w:r w:rsidRPr="003E3E32">
        <w:rPr>
          <w:rFonts w:ascii="Arial" w:hAnsi="Arial" w:cs="Arial"/>
          <w:b/>
          <w:sz w:val="22"/>
          <w:szCs w:val="22"/>
          <w:lang w:val="pl-PL"/>
        </w:rPr>
        <w:t xml:space="preserve"> Services</w:t>
      </w:r>
      <w:r w:rsidRPr="003E3E32">
        <w:rPr>
          <w:rFonts w:ascii="Arial" w:hAnsi="Arial" w:cs="Arial"/>
          <w:sz w:val="22"/>
          <w:szCs w:val="22"/>
          <w:lang w:val="pl-PL"/>
        </w:rPr>
        <w:t xml:space="preserve">, standard stanowią podarunki wręczane pracownikom z okazji popularnych świąt. Są on przyznawane przez odpowiednio 89% i 48% firm w związku ze Świętami Bożego Narodzenia i Świętami Wielkanocnymi. W planie motywacyjnym nadal dość rzadko </w:t>
      </w:r>
      <w:r w:rsidR="00431EDD">
        <w:rPr>
          <w:rFonts w:ascii="Arial" w:hAnsi="Arial" w:cs="Arial"/>
          <w:sz w:val="22"/>
          <w:szCs w:val="22"/>
          <w:lang w:val="pl-PL"/>
        </w:rPr>
        <w:t xml:space="preserve">jeszcze </w:t>
      </w:r>
      <w:r w:rsidRPr="003E3E32">
        <w:rPr>
          <w:rFonts w:ascii="Arial" w:hAnsi="Arial" w:cs="Arial"/>
          <w:sz w:val="22"/>
          <w:szCs w:val="22"/>
          <w:lang w:val="pl-PL"/>
        </w:rPr>
        <w:t>pojawiają się świadczenia wakacyjne (22%).</w:t>
      </w:r>
    </w:p>
    <w:p w:rsidR="001858FC" w:rsidRDefault="001858FC" w:rsidP="00153C70">
      <w:pPr>
        <w:rPr>
          <w:rFonts w:ascii="Arial" w:hAnsi="Arial" w:cs="Arial"/>
          <w:b/>
          <w:sz w:val="22"/>
          <w:szCs w:val="22"/>
          <w:lang w:val="pl-PL"/>
        </w:rPr>
      </w:pPr>
    </w:p>
    <w:p w:rsidR="003E3E32" w:rsidRPr="002B1302" w:rsidRDefault="003E3E32" w:rsidP="00153C7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Jakie benefity na wakacje</w:t>
      </w:r>
      <w:r w:rsidR="008902B5">
        <w:rPr>
          <w:rFonts w:ascii="Arial" w:hAnsi="Arial" w:cs="Arial"/>
          <w:b/>
          <w:sz w:val="22"/>
          <w:szCs w:val="22"/>
          <w:lang w:val="pl-PL"/>
        </w:rPr>
        <w:t>?</w:t>
      </w:r>
    </w:p>
    <w:p w:rsidR="004B6A87" w:rsidRDefault="004B6A87" w:rsidP="00153C7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3E32">
        <w:rPr>
          <w:rFonts w:ascii="Arial" w:hAnsi="Arial" w:cs="Arial"/>
          <w:sz w:val="22"/>
          <w:szCs w:val="22"/>
          <w:lang w:val="pl-PL"/>
        </w:rPr>
        <w:t>Świadczenia pozapłacowe nie tylko osłabiają chęć zmiany pracy i budują lojalność, ale mają również wpływ na przyciągnięcie kandydatów – z takim stwierdzeniem zgadza się już 29% badanych firm. Przekonane są o tym przede wszystkim przedsiębiorstwa z kapitałem zagranicznym (52%).</w:t>
      </w:r>
    </w:p>
    <w:p w:rsidR="00FD118E" w:rsidRDefault="00FD118E" w:rsidP="003E3E3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D118E" w:rsidRPr="00FD118E" w:rsidRDefault="00FD118E" w:rsidP="003E3E32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50949">
        <w:rPr>
          <w:rFonts w:ascii="Arial" w:hAnsi="Arial" w:cs="Arial"/>
          <w:i/>
          <w:sz w:val="22"/>
          <w:szCs w:val="22"/>
          <w:lang w:val="pl-PL"/>
        </w:rPr>
        <w:t>„Badanie specjalistów i menedżerów prowadzone przez Antal w</w:t>
      </w:r>
      <w:r w:rsidR="00950949">
        <w:rPr>
          <w:rFonts w:ascii="Arial" w:hAnsi="Arial" w:cs="Arial"/>
          <w:i/>
          <w:sz w:val="22"/>
          <w:szCs w:val="22"/>
          <w:lang w:val="pl-PL"/>
        </w:rPr>
        <w:t xml:space="preserve">skazuje, że z roku na rok coraz </w:t>
      </w:r>
      <w:r w:rsidRPr="00950949">
        <w:rPr>
          <w:rFonts w:ascii="Arial" w:hAnsi="Arial" w:cs="Arial"/>
          <w:i/>
          <w:sz w:val="22"/>
          <w:szCs w:val="22"/>
          <w:lang w:val="pl-PL"/>
        </w:rPr>
        <w:t xml:space="preserve">bardziej cenione są na rynku wszelkie benefity pomagające w zachowaniu </w:t>
      </w:r>
      <w:proofErr w:type="spellStart"/>
      <w:r w:rsidRPr="00950949">
        <w:rPr>
          <w:rFonts w:ascii="Arial" w:hAnsi="Arial" w:cs="Arial"/>
          <w:i/>
          <w:sz w:val="22"/>
          <w:szCs w:val="22"/>
          <w:lang w:val="pl-PL"/>
        </w:rPr>
        <w:t>work</w:t>
      </w:r>
      <w:proofErr w:type="spellEnd"/>
      <w:r w:rsidRPr="00950949">
        <w:rPr>
          <w:rFonts w:ascii="Arial" w:hAnsi="Arial" w:cs="Arial"/>
          <w:i/>
          <w:sz w:val="22"/>
          <w:szCs w:val="22"/>
          <w:lang w:val="pl-PL"/>
        </w:rPr>
        <w:t xml:space="preserve">-life </w:t>
      </w:r>
      <w:proofErr w:type="spellStart"/>
      <w:r w:rsidRPr="00950949">
        <w:rPr>
          <w:rFonts w:ascii="Arial" w:hAnsi="Arial" w:cs="Arial"/>
          <w:i/>
          <w:sz w:val="22"/>
          <w:szCs w:val="22"/>
          <w:lang w:val="pl-PL"/>
        </w:rPr>
        <w:t>balance</w:t>
      </w:r>
      <w:proofErr w:type="spellEnd"/>
      <w:r w:rsidRPr="00950949">
        <w:rPr>
          <w:rFonts w:ascii="Arial" w:hAnsi="Arial" w:cs="Arial"/>
          <w:i/>
          <w:sz w:val="22"/>
          <w:szCs w:val="22"/>
          <w:lang w:val="pl-PL"/>
        </w:rPr>
        <w:t xml:space="preserve">. Bardzo ważnym atutem w ofercie pracodawcy są również kwestie związane z wakacjami – dla 26% osób </w:t>
      </w:r>
      <w:r w:rsidR="00950949">
        <w:rPr>
          <w:rFonts w:ascii="Arial" w:hAnsi="Arial" w:cs="Arial"/>
          <w:i/>
          <w:sz w:val="22"/>
          <w:szCs w:val="22"/>
          <w:lang w:val="pl-PL"/>
        </w:rPr>
        <w:br/>
      </w:r>
      <w:r w:rsidRPr="00950949">
        <w:rPr>
          <w:rFonts w:ascii="Arial" w:hAnsi="Arial" w:cs="Arial"/>
          <w:i/>
          <w:sz w:val="22"/>
          <w:szCs w:val="22"/>
          <w:lang w:val="pl-PL"/>
        </w:rPr>
        <w:t>są to dodatkowe dni</w:t>
      </w:r>
      <w:r w:rsidR="00950949" w:rsidRPr="00950949">
        <w:rPr>
          <w:rFonts w:ascii="Arial" w:hAnsi="Arial" w:cs="Arial"/>
          <w:i/>
          <w:sz w:val="22"/>
          <w:szCs w:val="22"/>
          <w:lang w:val="pl-PL"/>
        </w:rPr>
        <w:t xml:space="preserve"> urlopu, a dla 12% </w:t>
      </w:r>
      <w:r w:rsidRPr="00950949">
        <w:rPr>
          <w:rFonts w:ascii="Arial" w:hAnsi="Arial" w:cs="Arial"/>
          <w:i/>
          <w:sz w:val="22"/>
          <w:szCs w:val="22"/>
          <w:lang w:val="pl-PL"/>
        </w:rPr>
        <w:t>dofinansowanie wakacji”</w:t>
      </w:r>
      <w:r w:rsidRPr="00950949">
        <w:rPr>
          <w:rFonts w:ascii="Arial" w:hAnsi="Arial" w:cs="Arial"/>
          <w:sz w:val="22"/>
          <w:szCs w:val="22"/>
          <w:lang w:val="pl-PL"/>
        </w:rPr>
        <w:t xml:space="preserve"> – mówi </w:t>
      </w:r>
      <w:r w:rsidRPr="00950949">
        <w:rPr>
          <w:rFonts w:ascii="Arial" w:hAnsi="Arial" w:cs="Arial"/>
          <w:b/>
          <w:sz w:val="22"/>
          <w:szCs w:val="22"/>
          <w:lang w:val="pl-PL"/>
        </w:rPr>
        <w:t xml:space="preserve">Agnieszka Wójcik, Market </w:t>
      </w:r>
      <w:proofErr w:type="spellStart"/>
      <w:r w:rsidRPr="00950949">
        <w:rPr>
          <w:rFonts w:ascii="Arial" w:hAnsi="Arial" w:cs="Arial"/>
          <w:b/>
          <w:sz w:val="22"/>
          <w:szCs w:val="22"/>
          <w:lang w:val="pl-PL"/>
        </w:rPr>
        <w:t>Research</w:t>
      </w:r>
      <w:proofErr w:type="spellEnd"/>
      <w:r w:rsidRPr="00950949">
        <w:rPr>
          <w:rFonts w:ascii="Arial" w:hAnsi="Arial" w:cs="Arial"/>
          <w:b/>
          <w:sz w:val="22"/>
          <w:szCs w:val="22"/>
          <w:lang w:val="pl-PL"/>
        </w:rPr>
        <w:t xml:space="preserve"> Manager w Antal.</w:t>
      </w:r>
      <w:r w:rsidRPr="00FD118E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3E3E32" w:rsidRPr="00FD118E" w:rsidRDefault="003E3E32" w:rsidP="003E3E32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3E32">
        <w:rPr>
          <w:rFonts w:ascii="Arial" w:hAnsi="Arial" w:cs="Arial"/>
          <w:sz w:val="22"/>
          <w:szCs w:val="22"/>
          <w:lang w:val="pl-PL"/>
        </w:rPr>
        <w:t>Nie może zatem dziwić, że działy HR coraz częściej próbują przyciągnąć pracowników niestandardowymi benefitami. Świadczenia wakacyjne, jako nie tak powszechne jak np. podarunki świąteczne, to potencjalny, ciekawy wyróżnik pracodawcy.</w:t>
      </w:r>
    </w:p>
    <w:p w:rsidR="003E3E32" w:rsidRP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3E32">
        <w:rPr>
          <w:rFonts w:ascii="Arial" w:hAnsi="Arial" w:cs="Arial"/>
          <w:sz w:val="22"/>
          <w:szCs w:val="22"/>
          <w:lang w:val="pl-PL"/>
        </w:rPr>
        <w:lastRenderedPageBreak/>
        <w:t xml:space="preserve">Jakie korzyści można zaproponować pracownikom w okresie letnim? To m.in. skrócony czas pracy </w:t>
      </w:r>
      <w:r w:rsidR="00950949">
        <w:rPr>
          <w:rFonts w:ascii="Arial" w:hAnsi="Arial" w:cs="Arial"/>
          <w:sz w:val="22"/>
          <w:szCs w:val="22"/>
          <w:lang w:val="pl-PL"/>
        </w:rPr>
        <w:br/>
      </w:r>
      <w:r w:rsidRPr="003E3E32">
        <w:rPr>
          <w:rFonts w:ascii="Arial" w:hAnsi="Arial" w:cs="Arial"/>
          <w:sz w:val="22"/>
          <w:szCs w:val="22"/>
          <w:lang w:val="pl-PL"/>
        </w:rPr>
        <w:t xml:space="preserve">w ustalone dni tygodnia (zwłaszcza w piątki) i </w:t>
      </w:r>
      <w:proofErr w:type="spellStart"/>
      <w:r w:rsidRPr="008902B5">
        <w:rPr>
          <w:rFonts w:ascii="Arial" w:hAnsi="Arial" w:cs="Arial"/>
          <w:sz w:val="22"/>
          <w:szCs w:val="22"/>
          <w:lang w:val="pl-PL"/>
        </w:rPr>
        <w:t>home</w:t>
      </w:r>
      <w:proofErr w:type="spellEnd"/>
      <w:r w:rsidRPr="008902B5">
        <w:rPr>
          <w:rFonts w:ascii="Arial" w:hAnsi="Arial" w:cs="Arial"/>
          <w:sz w:val="22"/>
          <w:szCs w:val="22"/>
          <w:lang w:val="pl-PL"/>
        </w:rPr>
        <w:t xml:space="preserve"> office,</w:t>
      </w:r>
      <w:r w:rsidRPr="003E3E32">
        <w:rPr>
          <w:rFonts w:ascii="Arial" w:hAnsi="Arial" w:cs="Arial"/>
          <w:sz w:val="22"/>
          <w:szCs w:val="22"/>
          <w:lang w:val="pl-PL"/>
        </w:rPr>
        <w:t xml:space="preserve"> czyli możliwość wykonywania pracy zdalnie. W związku z wakacyjnymi wyjazdami, szczególnie pożądane przez pracowników mogą być świadczenia materialne.</w:t>
      </w:r>
    </w:p>
    <w:p w:rsidR="003E3E32" w:rsidRPr="002B1302" w:rsidRDefault="003E3E32" w:rsidP="00153C7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E3E32" w:rsidRPr="003E3E32" w:rsidRDefault="003E3E32" w:rsidP="003E3E32">
      <w:pPr>
        <w:pBdr>
          <w:left w:val="single" w:sz="36" w:space="4" w:color="FF0000"/>
        </w:pBd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„Dodatkowe środki na realizację letnich planów z pewnością ucieszą każdego pracownika planującego wakacyjne wyjazdy – </w:t>
      </w:r>
      <w:r w:rsidRPr="003E3E32">
        <w:rPr>
          <w:rFonts w:ascii="Arial" w:hAnsi="Arial" w:cs="Arial"/>
          <w:sz w:val="22"/>
          <w:szCs w:val="22"/>
          <w:lang w:val="pl-PL"/>
        </w:rPr>
        <w:t xml:space="preserve">komentuje </w:t>
      </w:r>
      <w:r w:rsidR="00040035">
        <w:rPr>
          <w:rFonts w:ascii="Arial" w:hAnsi="Arial" w:cs="Arial"/>
          <w:b/>
          <w:sz w:val="22"/>
          <w:szCs w:val="22"/>
          <w:lang w:val="pl-PL"/>
        </w:rPr>
        <w:t xml:space="preserve">Małgorzata </w:t>
      </w:r>
      <w:proofErr w:type="spellStart"/>
      <w:r w:rsidR="00040035">
        <w:rPr>
          <w:rFonts w:ascii="Arial" w:hAnsi="Arial" w:cs="Arial"/>
          <w:b/>
          <w:sz w:val="22"/>
          <w:szCs w:val="22"/>
          <w:lang w:val="pl-PL"/>
        </w:rPr>
        <w:t>Kroh</w:t>
      </w:r>
      <w:proofErr w:type="spellEnd"/>
      <w:r w:rsidR="00040035">
        <w:rPr>
          <w:rFonts w:ascii="Arial" w:hAnsi="Arial" w:cs="Arial"/>
          <w:b/>
          <w:sz w:val="22"/>
          <w:szCs w:val="22"/>
          <w:lang w:val="pl-PL"/>
        </w:rPr>
        <w:t>, Dyrektor Marketingu i Rozwoju</w:t>
      </w:r>
      <w:r w:rsidRPr="003E3E32">
        <w:rPr>
          <w:rFonts w:ascii="Arial" w:hAnsi="Arial" w:cs="Arial"/>
          <w:b/>
          <w:sz w:val="22"/>
          <w:szCs w:val="22"/>
          <w:lang w:val="pl-PL"/>
        </w:rPr>
        <w:t xml:space="preserve"> w Sodexo Benefits and Rewards Services w Polsce.</w:t>
      </w: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 – Alternatywą dla tradycyjnego dofinansowania są karty przedpłacone. Ich zaletą jest to, że </w:t>
      </w:r>
      <w:r w:rsidR="00AB606D">
        <w:rPr>
          <w:rFonts w:ascii="Arial" w:hAnsi="Arial" w:cs="Arial"/>
          <w:i/>
          <w:sz w:val="22"/>
          <w:szCs w:val="22"/>
          <w:lang w:val="pl-PL"/>
        </w:rPr>
        <w:t>umożliwiają</w:t>
      </w: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 rozdysponowanie środków przez pracown</w:t>
      </w:r>
      <w:r w:rsidR="00AB606D">
        <w:rPr>
          <w:rFonts w:ascii="Arial" w:hAnsi="Arial" w:cs="Arial"/>
          <w:i/>
          <w:sz w:val="22"/>
          <w:szCs w:val="22"/>
          <w:lang w:val="pl-PL"/>
        </w:rPr>
        <w:t xml:space="preserve">ika </w:t>
      </w:r>
      <w:r w:rsidR="00950949">
        <w:rPr>
          <w:rFonts w:ascii="Arial" w:hAnsi="Arial" w:cs="Arial"/>
          <w:i/>
          <w:sz w:val="22"/>
          <w:szCs w:val="22"/>
          <w:lang w:val="pl-PL"/>
        </w:rPr>
        <w:br/>
      </w:r>
      <w:r w:rsidR="00AB606D">
        <w:rPr>
          <w:rFonts w:ascii="Arial" w:hAnsi="Arial" w:cs="Arial"/>
          <w:i/>
          <w:sz w:val="22"/>
          <w:szCs w:val="22"/>
          <w:lang w:val="pl-PL"/>
        </w:rPr>
        <w:t>w optymalny dla niego sposób</w:t>
      </w: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. Przykładowo, </w:t>
      </w:r>
      <w:r w:rsidR="00FF45F6" w:rsidRPr="00950949">
        <w:rPr>
          <w:rFonts w:ascii="Arial" w:hAnsi="Arial" w:cs="Arial"/>
          <w:i/>
          <w:sz w:val="22"/>
          <w:szCs w:val="22"/>
          <w:lang w:val="pl-PL"/>
        </w:rPr>
        <w:t>K</w:t>
      </w:r>
      <w:r w:rsidR="00AB606D" w:rsidRPr="00950949">
        <w:rPr>
          <w:rFonts w:ascii="Arial" w:hAnsi="Arial" w:cs="Arial"/>
          <w:i/>
          <w:sz w:val="22"/>
          <w:szCs w:val="22"/>
          <w:lang w:val="pl-PL"/>
        </w:rPr>
        <w:t>arta</w:t>
      </w:r>
      <w:r w:rsidR="00FF45F6" w:rsidRPr="00950949">
        <w:rPr>
          <w:rFonts w:ascii="Arial" w:hAnsi="Arial" w:cs="Arial"/>
          <w:i/>
          <w:sz w:val="22"/>
          <w:szCs w:val="22"/>
          <w:lang w:val="pl-PL"/>
        </w:rPr>
        <w:t xml:space="preserve"> Podarunkowa</w:t>
      </w:r>
      <w:r w:rsidRPr="00950949">
        <w:rPr>
          <w:rFonts w:ascii="Arial" w:hAnsi="Arial" w:cs="Arial"/>
          <w:i/>
          <w:sz w:val="22"/>
          <w:szCs w:val="22"/>
          <w:lang w:val="pl-PL"/>
        </w:rPr>
        <w:t xml:space="preserve"> Sodexo </w:t>
      </w:r>
      <w:r w:rsidR="00AB606D" w:rsidRPr="00950949">
        <w:rPr>
          <w:rFonts w:ascii="Arial" w:hAnsi="Arial" w:cs="Arial"/>
          <w:i/>
          <w:sz w:val="22"/>
          <w:szCs w:val="22"/>
          <w:lang w:val="pl-PL"/>
        </w:rPr>
        <w:t xml:space="preserve">pozwala opłacić hotelową rezerwację, </w:t>
      </w:r>
      <w:r w:rsidRPr="00950949">
        <w:rPr>
          <w:rFonts w:ascii="Arial" w:hAnsi="Arial" w:cs="Arial"/>
          <w:i/>
          <w:sz w:val="22"/>
          <w:szCs w:val="22"/>
          <w:lang w:val="pl-PL"/>
        </w:rPr>
        <w:t>zrealizować zakupy w turystycznych destynacjach, zakupić sprzęt przydatny w podróży lub bilety na wydarzenia organizowane w wakacyjnych kurortach</w:t>
      </w:r>
      <w:r w:rsidR="00AB606D" w:rsidRPr="00950949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Pr="00950949">
        <w:rPr>
          <w:rFonts w:ascii="Arial" w:hAnsi="Arial" w:cs="Arial"/>
          <w:i/>
          <w:sz w:val="22"/>
          <w:szCs w:val="22"/>
          <w:lang w:val="pl-PL"/>
        </w:rPr>
        <w:t xml:space="preserve">Posiadacze kart </w:t>
      </w:r>
      <w:r w:rsidR="00FE791E" w:rsidRPr="00950949">
        <w:rPr>
          <w:rFonts w:ascii="Arial" w:hAnsi="Arial" w:cs="Arial"/>
          <w:i/>
          <w:sz w:val="22"/>
          <w:szCs w:val="22"/>
          <w:lang w:val="pl-PL"/>
        </w:rPr>
        <w:t xml:space="preserve">mają też dostęp </w:t>
      </w:r>
      <w:r w:rsidR="00950949">
        <w:rPr>
          <w:rFonts w:ascii="Arial" w:hAnsi="Arial" w:cs="Arial"/>
          <w:i/>
          <w:sz w:val="22"/>
          <w:szCs w:val="22"/>
          <w:lang w:val="pl-PL"/>
        </w:rPr>
        <w:br/>
      </w:r>
      <w:r w:rsidR="00FE791E" w:rsidRPr="00950949">
        <w:rPr>
          <w:rFonts w:ascii="Arial" w:hAnsi="Arial" w:cs="Arial"/>
          <w:i/>
          <w:sz w:val="22"/>
          <w:szCs w:val="22"/>
          <w:lang w:val="pl-PL"/>
        </w:rPr>
        <w:t>do</w:t>
      </w:r>
      <w:r w:rsidRPr="00950949">
        <w:rPr>
          <w:rFonts w:ascii="Arial" w:hAnsi="Arial" w:cs="Arial"/>
          <w:i/>
          <w:sz w:val="22"/>
          <w:szCs w:val="22"/>
          <w:lang w:val="pl-PL"/>
        </w:rPr>
        <w:t xml:space="preserve"> promocji, np. tańszego paliwa</w:t>
      </w:r>
      <w:r w:rsidR="00AB606D" w:rsidRPr="00950949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="00AB606D" w:rsidRPr="00950949">
        <w:rPr>
          <w:rFonts w:ascii="Arial" w:hAnsi="Arial" w:cs="Arial"/>
          <w:i/>
          <w:sz w:val="22"/>
          <w:szCs w:val="22"/>
        </w:rPr>
        <w:t>Karta przyda się także dziecku, które wyjeżdża na obóz lub kolonie. Co ważne, zostanie wykorzystana tylko do wyznaczonego limitu. Rodzice mogą na bieżąco sprawdzać saldo i historię transakcji, dodatkowo zasilić kartę lub ją zablokować, jeżeli dziecko ją zgubi</w:t>
      </w:r>
      <w:r w:rsidRPr="00950949">
        <w:rPr>
          <w:rFonts w:ascii="Arial" w:hAnsi="Arial" w:cs="Arial"/>
          <w:i/>
          <w:sz w:val="22"/>
          <w:szCs w:val="22"/>
          <w:lang w:val="pl-PL"/>
        </w:rPr>
        <w:t>”</w:t>
      </w: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 – </w:t>
      </w:r>
      <w:r w:rsidRPr="003E3E32">
        <w:rPr>
          <w:rFonts w:ascii="Arial" w:hAnsi="Arial" w:cs="Arial"/>
          <w:sz w:val="22"/>
          <w:szCs w:val="22"/>
          <w:lang w:val="pl-PL"/>
        </w:rPr>
        <w:t>wylicza.</w:t>
      </w:r>
    </w:p>
    <w:p w:rsid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74CE1" w:rsidRDefault="00474CE1" w:rsidP="003E3E3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07B2E">
        <w:rPr>
          <w:rFonts w:ascii="Arial" w:hAnsi="Arial" w:cs="Arial"/>
          <w:sz w:val="22"/>
          <w:szCs w:val="22"/>
          <w:lang w:val="pl-PL"/>
        </w:rPr>
        <w:t xml:space="preserve">Transakcji kartą można bezpiecznie dokonać online, co może </w:t>
      </w:r>
      <w:r w:rsidR="00026E00" w:rsidRPr="00307B2E">
        <w:rPr>
          <w:rFonts w:ascii="Arial" w:hAnsi="Arial" w:cs="Arial"/>
          <w:sz w:val="22"/>
          <w:szCs w:val="22"/>
          <w:lang w:val="pl-PL"/>
        </w:rPr>
        <w:t>być o tyle istotne, że</w:t>
      </w:r>
      <w:r w:rsidRPr="00307B2E">
        <w:rPr>
          <w:rFonts w:ascii="Arial" w:hAnsi="Arial" w:cs="Arial"/>
          <w:sz w:val="22"/>
          <w:szCs w:val="22"/>
          <w:lang w:val="pl-PL"/>
        </w:rPr>
        <w:t xml:space="preserve"> popularność e-zakupów w naszym kraju stale rośnie. Już blisko połowa Polaków (44%) deklaruje, że zapłaciła w sieci za podróż lub zarezerwowała wyjazd</w:t>
      </w:r>
      <w:r w:rsidR="00E97028" w:rsidRPr="00307B2E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Pr="00307B2E">
        <w:rPr>
          <w:rFonts w:ascii="Arial" w:hAnsi="Arial" w:cs="Arial"/>
          <w:sz w:val="22"/>
          <w:szCs w:val="22"/>
          <w:lang w:val="pl-PL"/>
        </w:rPr>
        <w:t>.</w:t>
      </w:r>
    </w:p>
    <w:p w:rsidR="00474CE1" w:rsidRDefault="00474CE1" w:rsidP="003E3E3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3E32">
        <w:rPr>
          <w:rFonts w:ascii="Arial" w:hAnsi="Arial" w:cs="Arial"/>
          <w:sz w:val="22"/>
          <w:szCs w:val="22"/>
          <w:lang w:val="pl-PL"/>
        </w:rPr>
        <w:t xml:space="preserve">Zdaniem </w:t>
      </w:r>
      <w:r w:rsidR="00040035">
        <w:rPr>
          <w:rFonts w:ascii="Arial" w:hAnsi="Arial" w:cs="Arial"/>
          <w:b/>
          <w:sz w:val="22"/>
          <w:szCs w:val="22"/>
          <w:lang w:val="pl-PL"/>
        </w:rPr>
        <w:t xml:space="preserve">Małgorzaty </w:t>
      </w:r>
      <w:proofErr w:type="spellStart"/>
      <w:r w:rsidR="00040035">
        <w:rPr>
          <w:rFonts w:ascii="Arial" w:hAnsi="Arial" w:cs="Arial"/>
          <w:b/>
          <w:sz w:val="22"/>
          <w:szCs w:val="22"/>
          <w:lang w:val="pl-PL"/>
        </w:rPr>
        <w:t>Kroh</w:t>
      </w:r>
      <w:proofErr w:type="spellEnd"/>
      <w:r w:rsidRPr="003E3E32">
        <w:rPr>
          <w:rFonts w:ascii="Arial" w:hAnsi="Arial" w:cs="Arial"/>
          <w:sz w:val="22"/>
          <w:szCs w:val="22"/>
          <w:lang w:val="pl-PL"/>
        </w:rPr>
        <w:t xml:space="preserve">, </w:t>
      </w:r>
      <w:r w:rsidR="00026E00">
        <w:rPr>
          <w:rFonts w:ascii="Arial" w:hAnsi="Arial" w:cs="Arial"/>
          <w:sz w:val="22"/>
          <w:szCs w:val="22"/>
          <w:lang w:val="pl-PL"/>
        </w:rPr>
        <w:t>karty przedpłacone bę</w:t>
      </w:r>
      <w:bookmarkStart w:id="0" w:name="_GoBack"/>
      <w:bookmarkEnd w:id="0"/>
      <w:r w:rsidR="00026E00">
        <w:rPr>
          <w:rFonts w:ascii="Arial" w:hAnsi="Arial" w:cs="Arial"/>
          <w:sz w:val="22"/>
          <w:szCs w:val="22"/>
          <w:lang w:val="pl-PL"/>
        </w:rPr>
        <w:t>dą coraz częściej oferowane jako benefity, także</w:t>
      </w:r>
      <w:r w:rsidRPr="003E3E32">
        <w:rPr>
          <w:rFonts w:ascii="Arial" w:hAnsi="Arial" w:cs="Arial"/>
          <w:sz w:val="22"/>
          <w:szCs w:val="22"/>
          <w:lang w:val="pl-PL"/>
        </w:rPr>
        <w:t xml:space="preserve"> ze względu na korzyści uzyskiwane przez pracodawców. </w:t>
      </w:r>
    </w:p>
    <w:p w:rsid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E3E32" w:rsidRDefault="003E3E32" w:rsidP="003E3E32">
      <w:pPr>
        <w:pBdr>
          <w:left w:val="single" w:sz="36" w:space="4" w:color="FF0000"/>
        </w:pBd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„Obsługa jest w tym wypadku </w:t>
      </w:r>
      <w:proofErr w:type="spellStart"/>
      <w:r w:rsidRPr="003E3E32">
        <w:rPr>
          <w:rFonts w:ascii="Arial" w:hAnsi="Arial" w:cs="Arial"/>
          <w:i/>
          <w:sz w:val="22"/>
          <w:szCs w:val="22"/>
          <w:lang w:val="pl-PL"/>
        </w:rPr>
        <w:t>niskokosztowa</w:t>
      </w:r>
      <w:proofErr w:type="spellEnd"/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, a obdarowani błyskawicznie uzyskują dostęp </w:t>
      </w:r>
      <w:r w:rsidR="00950949">
        <w:rPr>
          <w:rFonts w:ascii="Arial" w:hAnsi="Arial" w:cs="Arial"/>
          <w:i/>
          <w:sz w:val="22"/>
          <w:szCs w:val="22"/>
          <w:lang w:val="pl-PL"/>
        </w:rPr>
        <w:br/>
      </w: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do przekazanych środków. W ten prosty sposób pracodawca może nagrodzić pracownika, który </w:t>
      </w:r>
      <w:r w:rsidR="00950949">
        <w:rPr>
          <w:rFonts w:ascii="Arial" w:hAnsi="Arial" w:cs="Arial"/>
          <w:i/>
          <w:sz w:val="22"/>
          <w:szCs w:val="22"/>
          <w:lang w:val="pl-PL"/>
        </w:rPr>
        <w:br/>
      </w:r>
      <w:r w:rsidRPr="003E3E32">
        <w:rPr>
          <w:rFonts w:ascii="Arial" w:hAnsi="Arial" w:cs="Arial"/>
          <w:i/>
          <w:sz w:val="22"/>
          <w:szCs w:val="22"/>
          <w:lang w:val="pl-PL"/>
        </w:rPr>
        <w:t>z pewnością doceni tak praktyczny prezent wakacyjny</w:t>
      </w:r>
      <w:r>
        <w:rPr>
          <w:rFonts w:ascii="Arial" w:hAnsi="Arial" w:cs="Arial"/>
          <w:i/>
          <w:sz w:val="22"/>
          <w:szCs w:val="22"/>
          <w:lang w:val="pl-PL"/>
        </w:rPr>
        <w:t>”</w:t>
      </w: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 – </w:t>
      </w:r>
      <w:r w:rsidRPr="003E3E32">
        <w:rPr>
          <w:rFonts w:ascii="Arial" w:hAnsi="Arial" w:cs="Arial"/>
          <w:sz w:val="22"/>
          <w:szCs w:val="22"/>
          <w:lang w:val="pl-PL"/>
        </w:rPr>
        <w:t>mówi.</w:t>
      </w:r>
      <w:r w:rsidRPr="003E3E32"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p w:rsidR="003E3E32" w:rsidRPr="003E3E32" w:rsidRDefault="003E3E32" w:rsidP="003E3E32">
      <w:pPr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3E3E32" w:rsidRPr="003E3E32" w:rsidRDefault="003E3E32" w:rsidP="003E3E3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3E32">
        <w:rPr>
          <w:rFonts w:ascii="Arial" w:hAnsi="Arial" w:cs="Arial"/>
          <w:sz w:val="22"/>
          <w:szCs w:val="22"/>
          <w:lang w:val="pl-PL"/>
        </w:rPr>
        <w:t xml:space="preserve">Czy wakacyjne „prezenty” od pracodawców staną się bardziej powszechne? Może na to wpłynąć niedawna zmiana przepisów. Od stycznia pracodawcy mogą przeznaczać więcej środków </w:t>
      </w:r>
      <w:r w:rsidR="00950949">
        <w:rPr>
          <w:rFonts w:ascii="Arial" w:hAnsi="Arial" w:cs="Arial"/>
          <w:sz w:val="22"/>
          <w:szCs w:val="22"/>
          <w:lang w:val="pl-PL"/>
        </w:rPr>
        <w:br/>
      </w:r>
      <w:r w:rsidRPr="003E3E32">
        <w:rPr>
          <w:rFonts w:ascii="Arial" w:hAnsi="Arial" w:cs="Arial"/>
          <w:sz w:val="22"/>
          <w:szCs w:val="22"/>
          <w:lang w:val="pl-PL"/>
        </w:rPr>
        <w:t xml:space="preserve">na świadczenia pozapłacowe, bez konieczności odprowadzania podatku dochodowego. Zgodnie </w:t>
      </w:r>
      <w:r w:rsidR="00950949">
        <w:rPr>
          <w:rFonts w:ascii="Arial" w:hAnsi="Arial" w:cs="Arial"/>
          <w:sz w:val="22"/>
          <w:szCs w:val="22"/>
          <w:lang w:val="pl-PL"/>
        </w:rPr>
        <w:br/>
      </w:r>
      <w:r w:rsidRPr="003E3E32">
        <w:rPr>
          <w:rFonts w:ascii="Arial" w:hAnsi="Arial" w:cs="Arial"/>
          <w:sz w:val="22"/>
          <w:szCs w:val="22"/>
          <w:lang w:val="pl-PL"/>
        </w:rPr>
        <w:t xml:space="preserve">z przepisami ustawy o podatku dochodowym od osób fizycznych, zwolnione z opodatkowania </w:t>
      </w:r>
      <w:r w:rsidR="00950949">
        <w:rPr>
          <w:rFonts w:ascii="Arial" w:hAnsi="Arial" w:cs="Arial"/>
          <w:sz w:val="22"/>
          <w:szCs w:val="22"/>
          <w:lang w:val="pl-PL"/>
        </w:rPr>
        <w:br/>
      </w:r>
      <w:r w:rsidRPr="003E3E32">
        <w:rPr>
          <w:rFonts w:ascii="Arial" w:hAnsi="Arial" w:cs="Arial"/>
          <w:sz w:val="22"/>
          <w:szCs w:val="22"/>
          <w:lang w:val="pl-PL"/>
        </w:rPr>
        <w:t>są świadczenia pieniężne oraz rzeczowe, takie jak na przykład przedpłacone karty podarunkowe, finansowane przez pracodawcę ze środków zakładowego funduszu świadczeń socjalnych (</w:t>
      </w:r>
      <w:proofErr w:type="spellStart"/>
      <w:r w:rsidRPr="003E3E32">
        <w:rPr>
          <w:rFonts w:ascii="Arial" w:hAnsi="Arial" w:cs="Arial"/>
          <w:sz w:val="22"/>
          <w:szCs w:val="22"/>
          <w:lang w:val="pl-PL"/>
        </w:rPr>
        <w:t>zfśs</w:t>
      </w:r>
      <w:proofErr w:type="spellEnd"/>
      <w:r w:rsidRPr="003E3E32">
        <w:rPr>
          <w:rFonts w:ascii="Arial" w:hAnsi="Arial" w:cs="Arial"/>
          <w:sz w:val="22"/>
          <w:szCs w:val="22"/>
          <w:lang w:val="pl-PL"/>
        </w:rPr>
        <w:t xml:space="preserve">). Dotychczas roczny limit takich świadczeń wynosił 380 zł, a obecnie </w:t>
      </w:r>
      <w:r>
        <w:rPr>
          <w:rFonts w:ascii="Arial" w:hAnsi="Arial" w:cs="Arial"/>
          <w:sz w:val="22"/>
          <w:szCs w:val="22"/>
          <w:lang w:val="pl-PL"/>
        </w:rPr>
        <w:t xml:space="preserve">jest to </w:t>
      </w:r>
      <w:r w:rsidR="00950949">
        <w:rPr>
          <w:rFonts w:ascii="Arial" w:hAnsi="Arial" w:cs="Arial"/>
          <w:sz w:val="22"/>
          <w:szCs w:val="22"/>
          <w:lang w:val="pl-PL"/>
        </w:rPr>
        <w:t xml:space="preserve">już 1000 złotych </w:t>
      </w:r>
      <w:r w:rsidRPr="003E3E32">
        <w:rPr>
          <w:rFonts w:ascii="Arial" w:hAnsi="Arial" w:cs="Arial"/>
          <w:sz w:val="22"/>
          <w:szCs w:val="22"/>
          <w:lang w:val="pl-PL"/>
        </w:rPr>
        <w:t xml:space="preserve">na pracownika w skali roku. </w:t>
      </w:r>
    </w:p>
    <w:p w:rsidR="002C2623" w:rsidRPr="003E3E32" w:rsidRDefault="002C2623" w:rsidP="00153C70">
      <w:pPr>
        <w:jc w:val="both"/>
        <w:rPr>
          <w:rFonts w:ascii="Arial" w:hAnsi="Arial" w:cs="Arial"/>
          <w:sz w:val="22"/>
          <w:szCs w:val="22"/>
          <w:lang w:val="pl-PL" w:eastAsia="ja-JP"/>
        </w:rPr>
      </w:pPr>
    </w:p>
    <w:p w:rsidR="007A42B6" w:rsidRPr="001858FC" w:rsidRDefault="007A42B6" w:rsidP="001858FC">
      <w:p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1C0684" w:rsidRPr="009B4771" w:rsidRDefault="001C0684" w:rsidP="001C0684">
      <w:pPr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:rsidR="006E167E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:rsidR="006E167E" w:rsidRPr="009B4771" w:rsidRDefault="006E167E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:rsidR="001C0684" w:rsidRPr="0080270F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6"/>
          <w:szCs w:val="18"/>
          <w:lang w:val="en-AU"/>
        </w:rPr>
      </w:pPr>
      <w:r w:rsidRPr="0080270F">
        <w:rPr>
          <w:rFonts w:ascii="Arial" w:hAnsi="Arial" w:cs="Arial"/>
          <w:b/>
          <w:bCs/>
          <w:color w:val="2F5496"/>
          <w:sz w:val="16"/>
          <w:szCs w:val="18"/>
          <w:lang w:val="en-AU"/>
        </w:rPr>
        <w:t>Sodexo Benefits and Rewards Services Polska</w:t>
      </w:r>
    </w:p>
    <w:p w:rsidR="001C0684" w:rsidRPr="0080270F" w:rsidRDefault="001C0684" w:rsidP="001C0684">
      <w:pPr>
        <w:jc w:val="both"/>
        <w:rPr>
          <w:rFonts w:ascii="Arial" w:hAnsi="Arial" w:cs="Arial"/>
          <w:color w:val="2F5496"/>
          <w:sz w:val="16"/>
          <w:szCs w:val="18"/>
          <w:lang w:val="pl-PL"/>
        </w:rPr>
      </w:pPr>
      <w:r w:rsidRPr="0080270F">
        <w:rPr>
          <w:rFonts w:ascii="Arial" w:hAnsi="Arial" w:cs="Arial"/>
          <w:color w:val="2F5496"/>
          <w:sz w:val="16"/>
          <w:szCs w:val="18"/>
          <w:lang w:val="pl-PL"/>
        </w:rPr>
        <w:t xml:space="preserve">Sodexo Benefits and Rewards Services jest liderem polskiego rynku świadczeń pozapłacowych, na którym działa od </w:t>
      </w:r>
      <w:r w:rsidR="000E1379" w:rsidRPr="0080270F">
        <w:rPr>
          <w:rFonts w:ascii="Arial" w:hAnsi="Arial" w:cs="Arial"/>
          <w:color w:val="2F5496"/>
          <w:sz w:val="16"/>
          <w:szCs w:val="18"/>
          <w:lang w:val="pl-PL"/>
        </w:rPr>
        <w:t>20</w:t>
      </w:r>
      <w:r w:rsidRPr="0080270F">
        <w:rPr>
          <w:rFonts w:ascii="Arial" w:hAnsi="Arial" w:cs="Arial"/>
          <w:color w:val="2F5496"/>
          <w:sz w:val="16"/>
          <w:szCs w:val="18"/>
          <w:lang w:val="pl-PL"/>
        </w:rPr>
        <w:t xml:space="preserve"> lat,</w:t>
      </w:r>
      <w:r w:rsidRPr="0080270F">
        <w:rPr>
          <w:rFonts w:ascii="Arial" w:hAnsi="Arial" w:cs="Arial"/>
          <w:color w:val="2F5496"/>
          <w:sz w:val="16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</w:t>
      </w:r>
      <w:proofErr w:type="spellStart"/>
      <w:r w:rsidRPr="0080270F">
        <w:rPr>
          <w:rFonts w:ascii="Arial" w:hAnsi="Arial" w:cs="Arial"/>
          <w:color w:val="2F5496"/>
          <w:sz w:val="16"/>
          <w:szCs w:val="18"/>
          <w:lang w:val="pl-PL"/>
        </w:rPr>
        <w:t>Superbrands</w:t>
      </w:r>
      <w:proofErr w:type="spellEnd"/>
      <w:r w:rsidRPr="0080270F">
        <w:rPr>
          <w:rFonts w:ascii="Arial" w:hAnsi="Arial" w:cs="Arial"/>
          <w:color w:val="2F5496"/>
          <w:sz w:val="16"/>
          <w:szCs w:val="18"/>
          <w:lang w:val="pl-PL"/>
        </w:rPr>
        <w:t xml:space="preserve"> oraz nagrodę Złota Jakość Roku. W 2016 roku firma </w:t>
      </w:r>
      <w:proofErr w:type="spellStart"/>
      <w:r w:rsidRPr="0080270F">
        <w:rPr>
          <w:rFonts w:ascii="Arial" w:hAnsi="Arial" w:cs="Arial"/>
          <w:color w:val="2F5496"/>
          <w:sz w:val="16"/>
          <w:szCs w:val="18"/>
          <w:lang w:val="pl-PL"/>
        </w:rPr>
        <w:t>Aon</w:t>
      </w:r>
      <w:proofErr w:type="spellEnd"/>
      <w:r w:rsidRPr="0080270F">
        <w:rPr>
          <w:rFonts w:ascii="Arial" w:hAnsi="Arial" w:cs="Arial"/>
          <w:color w:val="2F5496"/>
          <w:sz w:val="16"/>
          <w:szCs w:val="18"/>
          <w:lang w:val="pl-PL"/>
        </w:rPr>
        <w:t xml:space="preserve"> Hewitt, światowy lider w doradztwie i rozwiązaniach outsourcingowych w obszarze zarządzania kapitałem ludzkim, po raz kolejny doceniła działania Sodexo Benefits and Rewards Services w Polsce, przyznając firmie certyfikat </w:t>
      </w:r>
      <w:proofErr w:type="spellStart"/>
      <w:r w:rsidRPr="0080270F">
        <w:rPr>
          <w:rFonts w:ascii="Arial" w:hAnsi="Arial" w:cs="Arial"/>
          <w:color w:val="2F5496"/>
          <w:sz w:val="16"/>
          <w:szCs w:val="18"/>
          <w:lang w:val="pl-PL"/>
        </w:rPr>
        <w:t>Aon</w:t>
      </w:r>
      <w:proofErr w:type="spellEnd"/>
      <w:r w:rsidRPr="0080270F">
        <w:rPr>
          <w:rFonts w:ascii="Arial" w:hAnsi="Arial" w:cs="Arial"/>
          <w:color w:val="2F5496"/>
          <w:sz w:val="16"/>
          <w:szCs w:val="18"/>
          <w:lang w:val="pl-PL"/>
        </w:rPr>
        <w:t xml:space="preserve"> Hewitt Best </w:t>
      </w:r>
      <w:proofErr w:type="spellStart"/>
      <w:r w:rsidRPr="0080270F">
        <w:rPr>
          <w:rFonts w:ascii="Arial" w:hAnsi="Arial" w:cs="Arial"/>
          <w:color w:val="2F5496"/>
          <w:sz w:val="16"/>
          <w:szCs w:val="18"/>
          <w:lang w:val="pl-PL"/>
        </w:rPr>
        <w:t>Employer</w:t>
      </w:r>
      <w:proofErr w:type="spellEnd"/>
      <w:r w:rsidRPr="0080270F">
        <w:rPr>
          <w:rFonts w:ascii="Arial" w:hAnsi="Arial" w:cs="Arial"/>
          <w:color w:val="2F5496"/>
          <w:sz w:val="16"/>
          <w:szCs w:val="18"/>
          <w:lang w:val="pl-PL"/>
        </w:rPr>
        <w:t>™ na poziomie międzynarodowym i krajowym.</w:t>
      </w:r>
      <w:r w:rsidR="005974DD" w:rsidRPr="0080270F">
        <w:rPr>
          <w:rFonts w:ascii="Arial" w:hAnsi="Arial" w:cs="Arial"/>
          <w:color w:val="2F5496"/>
          <w:sz w:val="16"/>
          <w:szCs w:val="18"/>
          <w:lang w:val="pl-PL"/>
        </w:rPr>
        <w:t xml:space="preserve"> </w:t>
      </w:r>
    </w:p>
    <w:p w:rsidR="001C0684" w:rsidRPr="0080270F" w:rsidRDefault="001C0684" w:rsidP="001C0684">
      <w:pPr>
        <w:jc w:val="both"/>
        <w:rPr>
          <w:rFonts w:ascii="Arial" w:hAnsi="Arial" w:cs="Arial"/>
          <w:b/>
          <w:bCs/>
          <w:color w:val="2F5496"/>
          <w:sz w:val="16"/>
          <w:szCs w:val="18"/>
          <w:lang w:val="pl-PL"/>
        </w:rPr>
      </w:pPr>
    </w:p>
    <w:p w:rsidR="001C0684" w:rsidRPr="0080270F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6"/>
          <w:szCs w:val="18"/>
          <w:lang w:val="pl-PL"/>
        </w:rPr>
      </w:pPr>
      <w:r w:rsidRPr="0080270F">
        <w:rPr>
          <w:rFonts w:ascii="Arial" w:hAnsi="Arial" w:cs="Arial"/>
          <w:b/>
          <w:bCs/>
          <w:color w:val="2F5496"/>
          <w:sz w:val="16"/>
          <w:szCs w:val="18"/>
          <w:lang w:val="pl-PL"/>
        </w:rPr>
        <w:t>Grupa Sodexo</w:t>
      </w:r>
    </w:p>
    <w:p w:rsidR="001C0684" w:rsidRPr="0080270F" w:rsidRDefault="001C0684" w:rsidP="001C0684">
      <w:pPr>
        <w:jc w:val="both"/>
        <w:rPr>
          <w:rFonts w:ascii="Arial" w:hAnsi="Arial" w:cs="Arial"/>
          <w:color w:val="2F5496"/>
          <w:sz w:val="16"/>
          <w:szCs w:val="18"/>
          <w:lang w:val="pl-PL"/>
        </w:rPr>
      </w:pPr>
      <w:r w:rsidRPr="0080270F">
        <w:rPr>
          <w:rFonts w:ascii="Arial" w:hAnsi="Arial" w:cs="Arial"/>
          <w:color w:val="2F5496"/>
          <w:sz w:val="16"/>
          <w:szCs w:val="18"/>
          <w:lang w:val="pl-PL"/>
        </w:rPr>
        <w:lastRenderedPageBreak/>
        <w:t>Grupa Sodexo,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Sodexo w 80 krajach projektuje, zarządza i dostarcza kompleksowe usługi w zakresie obsługi nieruchomości (Sodexo On-</w:t>
      </w:r>
      <w:proofErr w:type="spellStart"/>
      <w:r w:rsidRPr="0080270F">
        <w:rPr>
          <w:rFonts w:ascii="Arial" w:hAnsi="Arial" w:cs="Arial"/>
          <w:color w:val="2F5496"/>
          <w:sz w:val="16"/>
          <w:szCs w:val="18"/>
          <w:lang w:val="pl-PL"/>
        </w:rPr>
        <w:t>site</w:t>
      </w:r>
      <w:proofErr w:type="spellEnd"/>
      <w:r w:rsidR="0080270F">
        <w:rPr>
          <w:rFonts w:ascii="Arial" w:hAnsi="Arial" w:cs="Arial"/>
          <w:color w:val="2F5496"/>
          <w:sz w:val="16"/>
          <w:szCs w:val="18"/>
          <w:lang w:val="pl-PL"/>
        </w:rPr>
        <w:t xml:space="preserve"> Services) </w:t>
      </w:r>
      <w:proofErr w:type="spellStart"/>
      <w:r w:rsidR="0080270F">
        <w:rPr>
          <w:rFonts w:ascii="Arial" w:hAnsi="Arial" w:cs="Arial"/>
          <w:color w:val="2F5496"/>
          <w:sz w:val="16"/>
          <w:szCs w:val="18"/>
          <w:lang w:val="pl-PL"/>
        </w:rPr>
        <w:t>oraz</w:t>
      </w:r>
      <w:r w:rsidRPr="0080270F">
        <w:rPr>
          <w:rFonts w:ascii="Arial" w:hAnsi="Arial" w:cs="Arial"/>
          <w:color w:val="2F5496"/>
          <w:sz w:val="16"/>
          <w:szCs w:val="18"/>
          <w:lang w:val="pl-PL"/>
        </w:rPr>
        <w:t>w</w:t>
      </w:r>
      <w:proofErr w:type="spellEnd"/>
      <w:r w:rsidRPr="0080270F">
        <w:rPr>
          <w:rFonts w:ascii="Arial" w:hAnsi="Arial" w:cs="Arial"/>
          <w:color w:val="2F5496"/>
          <w:sz w:val="16"/>
          <w:szCs w:val="18"/>
          <w:lang w:val="pl-PL"/>
        </w:rPr>
        <w:t xml:space="preserve"> zakresie motywacji (Sodexo Benefits and Rewards Services), obsługując każdego dnia 75 milionów konsumentów na całym świecie.</w:t>
      </w:r>
    </w:p>
    <w:p w:rsidR="001C0684" w:rsidRPr="0080270F" w:rsidRDefault="001C0684" w:rsidP="001C0684">
      <w:pPr>
        <w:jc w:val="both"/>
        <w:rPr>
          <w:rFonts w:ascii="Arial" w:hAnsi="Arial" w:cs="Arial"/>
          <w:color w:val="2F5496"/>
          <w:sz w:val="16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80270F" w:rsidTr="009325E9">
        <w:trPr>
          <w:trHeight w:val="182"/>
        </w:trPr>
        <w:tc>
          <w:tcPr>
            <w:tcW w:w="4962" w:type="dxa"/>
          </w:tcPr>
          <w:p w:rsidR="001C0684" w:rsidRPr="0080270F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b/>
                <w:color w:val="2F5496"/>
                <w:sz w:val="16"/>
                <w:szCs w:val="22"/>
                <w:lang w:val="pl-PL"/>
              </w:rPr>
              <w:t>Sodexo w liczbach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(dane z 31 sierpnia 2017 roku)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pl-PL"/>
              </w:rPr>
              <w:t xml:space="preserve">Grupa Sodexo na świecie 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b/>
                <w:color w:val="2F5496"/>
                <w:sz w:val="16"/>
                <w:szCs w:val="22"/>
                <w:lang w:val="pl-PL"/>
              </w:rPr>
              <w:t xml:space="preserve">20,7 miliardów </w:t>
            </w: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 xml:space="preserve">euro skonsolidowanego dochodu 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b/>
                <w:color w:val="2F5496"/>
                <w:sz w:val="16"/>
                <w:szCs w:val="22"/>
                <w:lang w:val="pl-PL"/>
              </w:rPr>
              <w:t>427 000</w:t>
            </w: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 xml:space="preserve"> pracowników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b/>
                <w:color w:val="2F5496"/>
                <w:sz w:val="16"/>
                <w:szCs w:val="22"/>
                <w:lang w:val="pl-PL"/>
              </w:rPr>
              <w:t xml:space="preserve">19. pozycja </w:t>
            </w: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na liście największych pracodawców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na świecie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b/>
                <w:color w:val="2F5496"/>
                <w:sz w:val="16"/>
                <w:szCs w:val="22"/>
                <w:lang w:val="pl-PL"/>
              </w:rPr>
              <w:t>80</w:t>
            </w: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 xml:space="preserve"> krajów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b/>
                <w:color w:val="2F5496"/>
                <w:sz w:val="16"/>
                <w:szCs w:val="22"/>
                <w:lang w:val="pl-PL"/>
              </w:rPr>
              <w:t>100 milionów</w:t>
            </w: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 xml:space="preserve"> konsumentów dziennie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</w:p>
        </w:tc>
        <w:tc>
          <w:tcPr>
            <w:tcW w:w="4653" w:type="dxa"/>
          </w:tcPr>
          <w:p w:rsidR="001C0684" w:rsidRPr="0080270F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en-US"/>
              </w:rPr>
            </w:pPr>
            <w:r w:rsidRPr="0080270F"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en-AU"/>
              </w:rPr>
              <w:t>Sodexo On-site Services</w:t>
            </w:r>
            <w:r w:rsidRPr="0080270F"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en-US"/>
              </w:rPr>
              <w:t xml:space="preserve"> w </w:t>
            </w:r>
            <w:proofErr w:type="spellStart"/>
            <w:r w:rsidRPr="0080270F"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en-US"/>
              </w:rPr>
              <w:t>Polsce</w:t>
            </w:r>
            <w:proofErr w:type="spellEnd"/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5 200 000 m</w:t>
            </w:r>
            <w:r w:rsidRPr="0080270F">
              <w:rPr>
                <w:rFonts w:ascii="Arial" w:hAnsi="Arial" w:cs="Arial"/>
                <w:color w:val="2F5496"/>
                <w:sz w:val="16"/>
                <w:szCs w:val="22"/>
                <w:vertAlign w:val="superscript"/>
                <w:lang w:val="pl-PL"/>
              </w:rPr>
              <w:t>2</w:t>
            </w: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 xml:space="preserve"> obsługiwanej powierzchni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2 250 obsługiwanych mniejszych jednostek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 xml:space="preserve">2 200 zatrudnionych pracowników 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 xml:space="preserve">400 Klientów 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250 obsługiwanych nieruchomości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70 restauracji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en-US"/>
              </w:rPr>
            </w:pPr>
            <w:r w:rsidRPr="0080270F"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en-AU"/>
              </w:rPr>
              <w:t>Sodexo Benefits and Rewards</w:t>
            </w:r>
            <w:r w:rsidRPr="0080270F"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en-US"/>
              </w:rPr>
              <w:t xml:space="preserve"> Services w </w:t>
            </w:r>
            <w:proofErr w:type="spellStart"/>
            <w:r w:rsidRPr="0080270F">
              <w:rPr>
                <w:rFonts w:ascii="Arial" w:hAnsi="Arial" w:cs="Arial"/>
                <w:b/>
                <w:bCs/>
                <w:color w:val="2F5496"/>
                <w:sz w:val="16"/>
                <w:szCs w:val="22"/>
                <w:lang w:val="en-US"/>
              </w:rPr>
              <w:t>Polsce</w:t>
            </w:r>
            <w:proofErr w:type="spellEnd"/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43 000 Klientów</w:t>
            </w:r>
          </w:p>
          <w:p w:rsidR="001C0684" w:rsidRPr="0080270F" w:rsidRDefault="001C0684" w:rsidP="009325E9">
            <w:pPr>
              <w:jc w:val="both"/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>3 500 000 użytkowników naszych rozwiązań</w:t>
            </w:r>
          </w:p>
          <w:p w:rsidR="001C0684" w:rsidRPr="0080270F" w:rsidRDefault="001C0684" w:rsidP="009325E9">
            <w:pPr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</w:pPr>
            <w:r w:rsidRPr="0080270F">
              <w:rPr>
                <w:rFonts w:ascii="Arial" w:hAnsi="Arial" w:cs="Arial"/>
                <w:color w:val="2F5496"/>
                <w:sz w:val="16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:rsidR="00F4251A" w:rsidRPr="0080270F" w:rsidRDefault="00F4251A" w:rsidP="006D2F2C">
      <w:pPr>
        <w:jc w:val="both"/>
        <w:rPr>
          <w:rFonts w:ascii="Arial" w:hAnsi="Arial" w:cs="Arial"/>
          <w:b/>
          <w:bCs/>
          <w:color w:val="1F4E79"/>
          <w:sz w:val="16"/>
          <w:szCs w:val="18"/>
          <w:lang w:val="pl-PL"/>
        </w:rPr>
      </w:pPr>
    </w:p>
    <w:sectPr w:rsidR="00F4251A" w:rsidRPr="0080270F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BA" w:rsidRDefault="002C10BA" w:rsidP="00383833">
      <w:r>
        <w:separator/>
      </w:r>
    </w:p>
  </w:endnote>
  <w:endnote w:type="continuationSeparator" w:id="0">
    <w:p w:rsidR="002C10BA" w:rsidRDefault="002C10BA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10" w:rsidRPr="00F53BC1" w:rsidRDefault="00B1164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2792730</wp:posOffset>
          </wp:positionH>
          <wp:positionV relativeFrom="paragraph">
            <wp:posOffset>-100965</wp:posOffset>
          </wp:positionV>
          <wp:extent cx="1081405" cy="477520"/>
          <wp:effectExtent l="0" t="0" r="444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6" name="Obraz 6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482B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97482B" w:rsidRPr="00467AA6">
      <w:fldChar w:fldCharType="separate"/>
    </w:r>
    <w:r w:rsidR="002E1B81">
      <w:rPr>
        <w:noProof/>
      </w:rPr>
      <w:t>3</w:t>
    </w:r>
    <w:r w:rsidR="0097482B" w:rsidRPr="00467AA6">
      <w:fldChar w:fldCharType="end"/>
    </w:r>
    <w:r w:rsidR="00D21C10" w:rsidRPr="00467AA6">
      <w:t>/</w:t>
    </w:r>
    <w:r w:rsidR="002C10BA">
      <w:rPr>
        <w:noProof/>
      </w:rPr>
      <w:fldChar w:fldCharType="begin"/>
    </w:r>
    <w:r w:rsidR="002C10BA">
      <w:rPr>
        <w:noProof/>
      </w:rPr>
      <w:instrText xml:space="preserve"> NUMPAGES  \* MERGEFORMAT </w:instrText>
    </w:r>
    <w:r w:rsidR="002C10BA">
      <w:rPr>
        <w:noProof/>
      </w:rPr>
      <w:fldChar w:fldCharType="separate"/>
    </w:r>
    <w:r w:rsidR="002E1B81">
      <w:rPr>
        <w:noProof/>
      </w:rPr>
      <w:t>3</w:t>
    </w:r>
    <w:r w:rsidR="002C10BA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10" w:rsidRPr="00467AA6" w:rsidRDefault="00B11649" w:rsidP="009222B1">
    <w:pPr>
      <w:pStyle w:val="Stopka"/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-96520</wp:posOffset>
          </wp:positionV>
          <wp:extent cx="1033780" cy="456565"/>
          <wp:effectExtent l="0" t="0" r="0" b="635"/>
          <wp:wrapTight wrapText="bothSides">
            <wp:wrapPolygon edited="0">
              <wp:start x="0" y="0"/>
              <wp:lineTo x="0" y="20729"/>
              <wp:lineTo x="21096" y="20729"/>
              <wp:lineTo x="21096" y="0"/>
              <wp:lineTo x="0" y="0"/>
            </wp:wrapPolygon>
          </wp:wrapTight>
          <wp:docPr id="5" name="Obraz 5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482B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97482B" w:rsidRPr="00253B43">
      <w:rPr>
        <w:b/>
        <w:sz w:val="20"/>
      </w:rPr>
      <w:fldChar w:fldCharType="separate"/>
    </w:r>
    <w:r w:rsidR="002E1B81">
      <w:rPr>
        <w:b/>
        <w:noProof/>
        <w:sz w:val="20"/>
      </w:rPr>
      <w:t>1</w:t>
    </w:r>
    <w:r w:rsidR="0097482B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2C10BA">
      <w:rPr>
        <w:b/>
        <w:noProof/>
        <w:sz w:val="20"/>
      </w:rPr>
      <w:fldChar w:fldCharType="begin"/>
    </w:r>
    <w:r w:rsidR="002C10BA">
      <w:rPr>
        <w:b/>
        <w:noProof/>
        <w:sz w:val="20"/>
      </w:rPr>
      <w:instrText xml:space="preserve"> NUMPAGES  \* MERGEFORMAT </w:instrText>
    </w:r>
    <w:r w:rsidR="002C10BA">
      <w:rPr>
        <w:b/>
        <w:noProof/>
        <w:sz w:val="20"/>
      </w:rPr>
      <w:fldChar w:fldCharType="separate"/>
    </w:r>
    <w:r w:rsidR="002E1B81">
      <w:rPr>
        <w:b/>
        <w:noProof/>
        <w:sz w:val="20"/>
      </w:rPr>
      <w:t>3</w:t>
    </w:r>
    <w:r w:rsidR="002C10BA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</w:p>
  <w:p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BA" w:rsidRDefault="002C10BA" w:rsidP="00383833">
      <w:r>
        <w:separator/>
      </w:r>
    </w:p>
  </w:footnote>
  <w:footnote w:type="continuationSeparator" w:id="0">
    <w:p w:rsidR="002C10BA" w:rsidRDefault="002C10BA" w:rsidP="00383833">
      <w:r>
        <w:continuationSeparator/>
      </w:r>
    </w:p>
  </w:footnote>
  <w:footnote w:id="1">
    <w:p w:rsidR="00E97028" w:rsidRPr="00E97028" w:rsidRDefault="00E97028" w:rsidP="00E970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Raport </w:t>
      </w:r>
      <w:r w:rsidRPr="00E97028">
        <w:rPr>
          <w:lang w:val="pl-PL"/>
        </w:rPr>
        <w:t xml:space="preserve">„E-commerce </w:t>
      </w:r>
      <w:r>
        <w:rPr>
          <w:lang w:val="pl-PL"/>
        </w:rPr>
        <w:t xml:space="preserve">w </w:t>
      </w:r>
      <w:r w:rsidRPr="00E97028">
        <w:rPr>
          <w:lang w:val="pl-PL"/>
        </w:rPr>
        <w:t>Polsce 2017.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Gemius</w:t>
      </w:r>
      <w:proofErr w:type="spellEnd"/>
      <w:r>
        <w:rPr>
          <w:lang w:val="pl-PL"/>
        </w:rPr>
        <w:t xml:space="preserve"> dla e-Commerce Polska”</w:t>
      </w:r>
      <w:r>
        <w:rPr>
          <w:lang w:val="pl-PL"/>
        </w:rPr>
        <w:br/>
      </w:r>
    </w:p>
    <w:p w:rsidR="00E97028" w:rsidRPr="00E97028" w:rsidRDefault="00E970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323"/>
    <w:rsid w:val="00014F22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C37"/>
    <w:rsid w:val="00025A44"/>
    <w:rsid w:val="00025B72"/>
    <w:rsid w:val="00026E00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0035"/>
    <w:rsid w:val="00042685"/>
    <w:rsid w:val="00042A3D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4A10"/>
    <w:rsid w:val="00066375"/>
    <w:rsid w:val="000665A5"/>
    <w:rsid w:val="000679CA"/>
    <w:rsid w:val="00067FB7"/>
    <w:rsid w:val="00071425"/>
    <w:rsid w:val="00072704"/>
    <w:rsid w:val="00072ECD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C32"/>
    <w:rsid w:val="00111D71"/>
    <w:rsid w:val="001125B4"/>
    <w:rsid w:val="0011381B"/>
    <w:rsid w:val="00113935"/>
    <w:rsid w:val="00116945"/>
    <w:rsid w:val="0012122D"/>
    <w:rsid w:val="00122D1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500D9"/>
    <w:rsid w:val="00152197"/>
    <w:rsid w:val="001530AD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80F4A"/>
    <w:rsid w:val="001839C7"/>
    <w:rsid w:val="001851A9"/>
    <w:rsid w:val="00185815"/>
    <w:rsid w:val="001858FC"/>
    <w:rsid w:val="00187CA4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5347"/>
    <w:rsid w:val="002B6A4B"/>
    <w:rsid w:val="002B73D9"/>
    <w:rsid w:val="002B7CEB"/>
    <w:rsid w:val="002C0490"/>
    <w:rsid w:val="002C10BA"/>
    <w:rsid w:val="002C10D9"/>
    <w:rsid w:val="002C191B"/>
    <w:rsid w:val="002C22A4"/>
    <w:rsid w:val="002C25DD"/>
    <w:rsid w:val="002C2623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5B9"/>
    <w:rsid w:val="002D6F87"/>
    <w:rsid w:val="002D7766"/>
    <w:rsid w:val="002E05F9"/>
    <w:rsid w:val="002E0A24"/>
    <w:rsid w:val="002E1B81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DDA"/>
    <w:rsid w:val="003074A3"/>
    <w:rsid w:val="003077C0"/>
    <w:rsid w:val="00307B2E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FDF"/>
    <w:rsid w:val="00383833"/>
    <w:rsid w:val="003844DB"/>
    <w:rsid w:val="00387C79"/>
    <w:rsid w:val="0039153A"/>
    <w:rsid w:val="003918FD"/>
    <w:rsid w:val="003932F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7DD7"/>
    <w:rsid w:val="003C181C"/>
    <w:rsid w:val="003C19AD"/>
    <w:rsid w:val="003C1BE1"/>
    <w:rsid w:val="003C2B60"/>
    <w:rsid w:val="003C3FB7"/>
    <w:rsid w:val="003C617A"/>
    <w:rsid w:val="003C710C"/>
    <w:rsid w:val="003D1AD7"/>
    <w:rsid w:val="003D1E12"/>
    <w:rsid w:val="003D2771"/>
    <w:rsid w:val="003D4F65"/>
    <w:rsid w:val="003D549C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396B"/>
    <w:rsid w:val="003F3EF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D7E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1EDD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4CE1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20B9"/>
    <w:rsid w:val="0048248C"/>
    <w:rsid w:val="004828B1"/>
    <w:rsid w:val="004837D9"/>
    <w:rsid w:val="00483B12"/>
    <w:rsid w:val="00483E18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FE1"/>
    <w:rsid w:val="004E2880"/>
    <w:rsid w:val="004E2B88"/>
    <w:rsid w:val="004E2C0A"/>
    <w:rsid w:val="004E4B36"/>
    <w:rsid w:val="004E4D86"/>
    <w:rsid w:val="004E680B"/>
    <w:rsid w:val="004E6D2A"/>
    <w:rsid w:val="004E791C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64C"/>
    <w:rsid w:val="00506687"/>
    <w:rsid w:val="00510834"/>
    <w:rsid w:val="00510ED4"/>
    <w:rsid w:val="005112C6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2BB5"/>
    <w:rsid w:val="00533FC6"/>
    <w:rsid w:val="00534A19"/>
    <w:rsid w:val="00534DDF"/>
    <w:rsid w:val="005354FA"/>
    <w:rsid w:val="00537967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42D5"/>
    <w:rsid w:val="005746B8"/>
    <w:rsid w:val="00575361"/>
    <w:rsid w:val="005758BB"/>
    <w:rsid w:val="0057706A"/>
    <w:rsid w:val="00577247"/>
    <w:rsid w:val="0058030C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19E"/>
    <w:rsid w:val="005B6C7C"/>
    <w:rsid w:val="005B722B"/>
    <w:rsid w:val="005B79BA"/>
    <w:rsid w:val="005C0110"/>
    <w:rsid w:val="005C07CF"/>
    <w:rsid w:val="005C0B07"/>
    <w:rsid w:val="005C0BE3"/>
    <w:rsid w:val="005C0F7D"/>
    <w:rsid w:val="005C1A17"/>
    <w:rsid w:val="005C1AB3"/>
    <w:rsid w:val="005C29C1"/>
    <w:rsid w:val="005C2F2C"/>
    <w:rsid w:val="005C41B2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3F2D"/>
    <w:rsid w:val="006041BD"/>
    <w:rsid w:val="00606F4B"/>
    <w:rsid w:val="00607BE9"/>
    <w:rsid w:val="00607FA1"/>
    <w:rsid w:val="00612292"/>
    <w:rsid w:val="0061283A"/>
    <w:rsid w:val="00613371"/>
    <w:rsid w:val="006146D3"/>
    <w:rsid w:val="00614DEE"/>
    <w:rsid w:val="00616065"/>
    <w:rsid w:val="006176E2"/>
    <w:rsid w:val="00621F3A"/>
    <w:rsid w:val="00622652"/>
    <w:rsid w:val="00623FDC"/>
    <w:rsid w:val="00625668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0CE7"/>
    <w:rsid w:val="0067226E"/>
    <w:rsid w:val="00672352"/>
    <w:rsid w:val="00672B51"/>
    <w:rsid w:val="0067492E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6B2F"/>
    <w:rsid w:val="007A7A51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F158D"/>
    <w:rsid w:val="007F1BDC"/>
    <w:rsid w:val="007F29DA"/>
    <w:rsid w:val="007F2E04"/>
    <w:rsid w:val="00800D1C"/>
    <w:rsid w:val="0080156F"/>
    <w:rsid w:val="0080270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02B5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9DE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648B"/>
    <w:rsid w:val="008B7595"/>
    <w:rsid w:val="008C0281"/>
    <w:rsid w:val="008C06ED"/>
    <w:rsid w:val="008C0E2D"/>
    <w:rsid w:val="008C2290"/>
    <w:rsid w:val="008C28FC"/>
    <w:rsid w:val="008C356E"/>
    <w:rsid w:val="008D2253"/>
    <w:rsid w:val="008D443B"/>
    <w:rsid w:val="008D46C5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78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11BEF"/>
    <w:rsid w:val="009122A0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25E9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0949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CF9"/>
    <w:rsid w:val="00971304"/>
    <w:rsid w:val="00971395"/>
    <w:rsid w:val="00973CDD"/>
    <w:rsid w:val="00974265"/>
    <w:rsid w:val="0097482B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20541"/>
    <w:rsid w:val="00A21147"/>
    <w:rsid w:val="00A2176B"/>
    <w:rsid w:val="00A21826"/>
    <w:rsid w:val="00A218B6"/>
    <w:rsid w:val="00A22753"/>
    <w:rsid w:val="00A22E49"/>
    <w:rsid w:val="00A23B4F"/>
    <w:rsid w:val="00A23BBC"/>
    <w:rsid w:val="00A24414"/>
    <w:rsid w:val="00A24BF2"/>
    <w:rsid w:val="00A25CF4"/>
    <w:rsid w:val="00A25D8E"/>
    <w:rsid w:val="00A25E47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172B"/>
    <w:rsid w:val="00A7211C"/>
    <w:rsid w:val="00A7270D"/>
    <w:rsid w:val="00A72A4C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06D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454E"/>
    <w:rsid w:val="00B05336"/>
    <w:rsid w:val="00B05BD8"/>
    <w:rsid w:val="00B05F83"/>
    <w:rsid w:val="00B0616F"/>
    <w:rsid w:val="00B070FB"/>
    <w:rsid w:val="00B07D64"/>
    <w:rsid w:val="00B11649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484C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5979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777"/>
    <w:rsid w:val="00D75A4D"/>
    <w:rsid w:val="00D76C7A"/>
    <w:rsid w:val="00D8023A"/>
    <w:rsid w:val="00D80D0D"/>
    <w:rsid w:val="00D81D31"/>
    <w:rsid w:val="00D82F29"/>
    <w:rsid w:val="00D832F4"/>
    <w:rsid w:val="00D85272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BFA"/>
    <w:rsid w:val="00D964A3"/>
    <w:rsid w:val="00D96C49"/>
    <w:rsid w:val="00D977BD"/>
    <w:rsid w:val="00D97B07"/>
    <w:rsid w:val="00DA0555"/>
    <w:rsid w:val="00DA0BEA"/>
    <w:rsid w:val="00DA3A29"/>
    <w:rsid w:val="00DA4081"/>
    <w:rsid w:val="00DA4C66"/>
    <w:rsid w:val="00DA671A"/>
    <w:rsid w:val="00DA7BA6"/>
    <w:rsid w:val="00DA7C00"/>
    <w:rsid w:val="00DB1158"/>
    <w:rsid w:val="00DB116B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7733"/>
    <w:rsid w:val="00DF0867"/>
    <w:rsid w:val="00DF13B7"/>
    <w:rsid w:val="00DF17B8"/>
    <w:rsid w:val="00DF3C74"/>
    <w:rsid w:val="00DF4042"/>
    <w:rsid w:val="00DF4AF6"/>
    <w:rsid w:val="00DF4E26"/>
    <w:rsid w:val="00DF5AAF"/>
    <w:rsid w:val="00DF5E9E"/>
    <w:rsid w:val="00DF61A0"/>
    <w:rsid w:val="00DF7F89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30592"/>
    <w:rsid w:val="00E326ED"/>
    <w:rsid w:val="00E3285B"/>
    <w:rsid w:val="00E32C48"/>
    <w:rsid w:val="00E35B4D"/>
    <w:rsid w:val="00E3630F"/>
    <w:rsid w:val="00E36438"/>
    <w:rsid w:val="00E37E47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F2F"/>
    <w:rsid w:val="00E95A0A"/>
    <w:rsid w:val="00E95E24"/>
    <w:rsid w:val="00E97028"/>
    <w:rsid w:val="00E97DAF"/>
    <w:rsid w:val="00EA0A2F"/>
    <w:rsid w:val="00EA1644"/>
    <w:rsid w:val="00EA2273"/>
    <w:rsid w:val="00EA2585"/>
    <w:rsid w:val="00EA58C9"/>
    <w:rsid w:val="00EA6EA2"/>
    <w:rsid w:val="00EA7B3C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E1E"/>
    <w:rsid w:val="00F02021"/>
    <w:rsid w:val="00F03889"/>
    <w:rsid w:val="00F03DE6"/>
    <w:rsid w:val="00F04455"/>
    <w:rsid w:val="00F05189"/>
    <w:rsid w:val="00F06D22"/>
    <w:rsid w:val="00F07648"/>
    <w:rsid w:val="00F07DED"/>
    <w:rsid w:val="00F1023C"/>
    <w:rsid w:val="00F10A70"/>
    <w:rsid w:val="00F112E7"/>
    <w:rsid w:val="00F1132E"/>
    <w:rsid w:val="00F11C62"/>
    <w:rsid w:val="00F11D8F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942"/>
    <w:rsid w:val="00FA4BA5"/>
    <w:rsid w:val="00FA5247"/>
    <w:rsid w:val="00FA5970"/>
    <w:rsid w:val="00FA5EE8"/>
    <w:rsid w:val="00FA6145"/>
    <w:rsid w:val="00FB0181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B54"/>
    <w:rsid w:val="00FD118E"/>
    <w:rsid w:val="00FD1E91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E791E"/>
    <w:rsid w:val="00FF244A"/>
    <w:rsid w:val="00FF2F30"/>
    <w:rsid w:val="00FF324E"/>
    <w:rsid w:val="00FF45CC"/>
    <w:rsid w:val="00FF45F6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D2D04C-CAFD-4F85-B611-78EB3C0E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198720-92DD-4760-B762-7360356A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</TotalTime>
  <Pages>1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Marta Zagożdżon</cp:lastModifiedBy>
  <cp:revision>4</cp:revision>
  <cp:lastPrinted>2018-07-26T10:07:00Z</cp:lastPrinted>
  <dcterms:created xsi:type="dcterms:W3CDTF">2018-07-26T10:07:00Z</dcterms:created>
  <dcterms:modified xsi:type="dcterms:W3CDTF">2018-07-26T10:08:00Z</dcterms:modified>
</cp:coreProperties>
</file>