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79" w:rsidRDefault="00324A79" w:rsidP="00431B1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31B1D" w:rsidRPr="00173121" w:rsidRDefault="00BA7B52" w:rsidP="0017312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3121">
        <w:rPr>
          <w:rFonts w:ascii="Times New Roman" w:hAnsi="Times New Roman" w:cs="Times New Roman"/>
          <w:b/>
          <w:i/>
          <w:sz w:val="24"/>
          <w:szCs w:val="24"/>
        </w:rPr>
        <w:t xml:space="preserve">Kto zyska, a kto straci na split payment </w:t>
      </w:r>
    </w:p>
    <w:p w:rsidR="00BA7B52" w:rsidRPr="00173121" w:rsidRDefault="00BA7B52" w:rsidP="00431B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3556" w:rsidRPr="00173121" w:rsidRDefault="00A76434" w:rsidP="002F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końcu ruszył</w:t>
      </w:r>
      <w:r w:rsidR="00BA7B52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mechanizm podzielonej płatności. Wszyscy, którzy nieświadomie uczestniczyli w oszust</w:t>
      </w:r>
      <w:r w:rsidR="008D04FD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A7B52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ach vatowskich, pokładają nadzieję, że ta instytucja będzie ich chronić przez nieuczciwymi kontrahent</w:t>
      </w:r>
      <w:r w:rsidR="008D04FD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ami.</w:t>
      </w:r>
      <w:r w:rsidR="00BA7B52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Nikt nie ma wątpliwości, że liczba podmiotów nieuwikłanych </w:t>
      </w:r>
      <w:r w:rsidR="008D04FD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w przestępstwa podatkowe</w:t>
      </w:r>
      <w:r w:rsidR="00BA7B52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 co najmniej 90% podmiotów obrotu gospodarczego, a zdecydowana – choć groźna dla budżetu</w:t>
      </w:r>
      <w:r w:rsidR="0039603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A7B52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mniejszość to </w:t>
      </w:r>
      <w:r w:rsidR="0039603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podmioty</w:t>
      </w:r>
      <w:r w:rsidR="008D04FD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działające poza ramami prawa. Od kilku miesięcy trwają nieustanne debaty, czy </w:t>
      </w:r>
      <w:r w:rsidR="0039603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D04FD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plit payment to korzystne rozwiązanie podatkowe, czy też </w:t>
      </w:r>
      <w:r w:rsidR="0039603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narzędzie </w:t>
      </w:r>
      <w:r w:rsidR="008D04FD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pogorszenia płynności finansowej przedsiębiorstw. </w:t>
      </w:r>
      <w:r w:rsidR="0013270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Choć resort finansów wymienia szereg zalet tego rozwiąza</w:t>
      </w:r>
      <w:r w:rsidR="00631FF1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nia, które w głównej mierze ma</w:t>
      </w:r>
      <w:r w:rsidR="0013270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zapewnić bezpieczeństwo podatkowe podmiotu, to w rzeczywistości ci kt</w:t>
      </w:r>
      <w:r w:rsidR="00FD1F22">
        <w:rPr>
          <w:rFonts w:ascii="Times New Roman" w:hAnsi="Times New Roman" w:cs="Times New Roman"/>
          <w:color w:val="000000" w:themeColor="text1"/>
          <w:sz w:val="24"/>
          <w:szCs w:val="24"/>
        </w:rPr>
        <w:t>órzy zawsze płacili podatek VAT,</w:t>
      </w:r>
      <w:r w:rsidR="00FF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odczują</w:t>
      </w:r>
      <w:r w:rsidR="00FD1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 ani</w:t>
      </w:r>
      <w:r w:rsidR="0013270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607">
        <w:rPr>
          <w:rFonts w:ascii="Times New Roman" w:hAnsi="Times New Roman" w:cs="Times New Roman"/>
          <w:color w:val="000000" w:themeColor="text1"/>
          <w:sz w:val="24"/>
          <w:szCs w:val="24"/>
        </w:rPr>
        <w:t>znacznych korzyści</w:t>
      </w:r>
      <w:r w:rsidR="0013270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. Jeśli chodzi o</w:t>
      </w:r>
      <w:r w:rsidR="00A530CB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realne</w:t>
      </w:r>
      <w:r w:rsidR="0013270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ryzyka </w:t>
      </w:r>
      <w:r w:rsidR="00A530CB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przedsiębiorstw - to </w:t>
      </w:r>
      <w:r w:rsidR="00FF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zapewne, jednym z nich jest płynność finansowa. </w:t>
      </w:r>
      <w:r w:rsidR="00ED7B8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2705" w:rsidRPr="00173121" w:rsidRDefault="00132705" w:rsidP="002F35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705" w:rsidRPr="00173121" w:rsidRDefault="00132705" w:rsidP="00A530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Split payment – kto beneficjentem korzyści </w:t>
      </w:r>
    </w:p>
    <w:p w:rsidR="00A530CB" w:rsidRPr="00173121" w:rsidRDefault="00A530CB" w:rsidP="00A530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30CB" w:rsidRPr="00173121" w:rsidRDefault="00901325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VAT </w:t>
      </w:r>
      <w:r w:rsidR="00A530CB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przewiduje preferencje dla korzystających z split payment w postaci zmniejszenia kwoty podatku VAT wpłacanej do urzędu skarbowego, w sytuacji gdy zapłata tego podatku następuje w całości z rachunku wyspecjalizowanego VAT oraz wpłata dokonywana jest w terminie wcześniejszym niż 25-go dnia miesiąca. Czy duża to będzie kwota? Według wzoru na obliczenie kwoty obniżenia</w:t>
      </w:r>
      <w:r w:rsidR="00ED7B8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podatku VAT</w:t>
      </w:r>
      <w:r w:rsidR="00A530CB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</w:p>
    <w:p w:rsidR="0028071C" w:rsidRPr="00173121" w:rsidRDefault="0028071C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71C" w:rsidRPr="00173121" w:rsidRDefault="00A530CB" w:rsidP="0028071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Kwota zobowiązania z deklaracji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17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stopa referencyjna NBP na dwa dni robocze przed dniem zapłaty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17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liczba dni od dnia w którym </w:t>
      </w:r>
      <w:r w:rsidR="001A00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obciążono rachunek bankowy albo rachunek w spółdzielczej kasie o –k, dla których jest prowadzony rachunek VAT, z wyłączeniem tego dnia, do dnia, w którym upływa termin zapłaty podatku, włącznie z tym dniem </w:t>
      </w:r>
      <w:r w:rsidRPr="00173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360 dni</w:t>
      </w:r>
      <w:r w:rsidR="005F0C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FF04A5" w:rsidRPr="00173121" w:rsidRDefault="00FF04A5" w:rsidP="0028071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D7B83" w:rsidRPr="00173121" w:rsidRDefault="005F0C80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D7B8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ożna </w:t>
      </w:r>
      <w:r w:rsidR="00522DE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dokonać </w:t>
      </w:r>
      <w:r w:rsidR="00ED7B8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symulacji określenia kwoty oszczędności dla podatnika.</w:t>
      </w:r>
    </w:p>
    <w:p w:rsidR="0069139D" w:rsidRDefault="00ED7B83" w:rsidP="002807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Przykładowo firma decyduje się na zapłatę podatku 5-go dnia miesiąca, należność 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22DE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łó</w:t>
      </w:r>
      <w:r w:rsidR="001A0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wna wynosi 100 tys. zł,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stopa referencyjna </w:t>
      </w:r>
      <w:r w:rsidR="001A0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NBP 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1,5%: </w:t>
      </w:r>
    </w:p>
    <w:p w:rsidR="001A000B" w:rsidRDefault="001A000B" w:rsidP="002807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Korzystając ze wzoru podanego w art. 108d ustawy VAT, obliczymy:</w:t>
      </w:r>
    </w:p>
    <w:p w:rsidR="00522DE7" w:rsidRPr="00173121" w:rsidRDefault="001A000B" w:rsidP="002807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 tys. zł *1,50%*19</w:t>
      </w:r>
      <w:r w:rsidR="00522DE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/360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79,17</w:t>
      </w:r>
      <w:r w:rsidR="0068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28071C" w:rsidRPr="00173121" w:rsidRDefault="00ED7B83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konsekwencji podatnik </w:t>
      </w:r>
      <w:r w:rsidR="001A000B">
        <w:rPr>
          <w:rFonts w:ascii="Times New Roman" w:hAnsi="Times New Roman" w:cs="Times New Roman"/>
          <w:color w:val="000000" w:themeColor="text1"/>
          <w:sz w:val="24"/>
          <w:szCs w:val="24"/>
        </w:rPr>
        <w:t>płacąc 19</w:t>
      </w:r>
      <w:r w:rsidR="00522DE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przed terminem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zyskuje</w:t>
      </w:r>
      <w:r w:rsidR="00686F7C" w:rsidRPr="0068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zaokrągleniu do pełnych złotych 79 zł. </w:t>
      </w:r>
      <w:r w:rsidR="001A000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22DE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rzedsiębiorca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, który zobowiązany był d</w:t>
      </w:r>
      <w:r w:rsidR="00522DE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o zapłaty 1 tys</w:t>
      </w:r>
      <w:r w:rsidR="001A000B">
        <w:rPr>
          <w:rFonts w:ascii="Times New Roman" w:hAnsi="Times New Roman" w:cs="Times New Roman"/>
          <w:color w:val="000000" w:themeColor="text1"/>
          <w:sz w:val="24"/>
          <w:szCs w:val="24"/>
        </w:rPr>
        <w:t>. zł podatku V</w:t>
      </w:r>
      <w:r w:rsidR="0068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określi kwotę obniżenia zobowiązania na </w:t>
      </w:r>
      <w:r w:rsidR="001A000B">
        <w:rPr>
          <w:rFonts w:ascii="Times New Roman" w:hAnsi="Times New Roman" w:cs="Times New Roman"/>
          <w:color w:val="000000" w:themeColor="text1"/>
          <w:sz w:val="24"/>
          <w:szCs w:val="24"/>
        </w:rPr>
        <w:t>79 groszy</w:t>
      </w:r>
      <w:r w:rsidR="00686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zaokrągleniu na 1 zł. </w:t>
      </w:r>
    </w:p>
    <w:p w:rsidR="00C718DE" w:rsidRPr="00173121" w:rsidRDefault="00522DE7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poza materialną korzyścią – dla użytkowników 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split payment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przewidziane 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uznanie przez organ podatkowy, że został spełniony </w:t>
      </w:r>
      <w:r w:rsidR="00C718D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jeden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elementów należytej staranności, jak również w przypadku realizacji płatności z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pomocą split </w:t>
      </w:r>
      <w:r w:rsidR="0032514B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 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faktury na co najmniej 95% poziomie, nie zostaną zastosowane podwyższone odsetki w przypadku stwierdzenia przez organ zaległości podatkowych. </w:t>
      </w:r>
      <w:r w:rsidR="00C718D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Podatnik korzystający ze split </w:t>
      </w:r>
      <w:r w:rsidR="0032514B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 </w:t>
      </w:r>
      <w:r w:rsidR="00C718D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będzie pociągnięty do odpowiedzialności solidarnej za zobowiązania podatkowe, powstałe wskutek dokonanych transakcji, jakie zostały niewłaściwe rozliczone </w:t>
      </w:r>
      <w:r w:rsidR="005F0C80">
        <w:rPr>
          <w:rFonts w:ascii="Times New Roman" w:hAnsi="Times New Roman" w:cs="Times New Roman"/>
          <w:color w:val="000000" w:themeColor="text1"/>
          <w:sz w:val="24"/>
          <w:szCs w:val="24"/>
        </w:rPr>
        <w:t>wg</w:t>
      </w:r>
      <w:r w:rsidR="00C718D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fiskusa. </w:t>
      </w:r>
    </w:p>
    <w:p w:rsidR="00612D57" w:rsidRPr="00173121" w:rsidRDefault="00C718DE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Mając na uwadze powyższe jasno trzeba stwierdzić, że r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amy ustawowe konstrukcji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tego 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nie 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zagwarantują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uniknięcia decyzji wymiarowej wskutek przeprowadzonego 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postępowania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kontrolnego oraz nie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powołania przez organ świadomego 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w oszustwie VAT 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mimo za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tos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ania podzielonej płatności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. N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ma 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bowiem żadnego przywileju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pod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miotów, którzy wi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edzieli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, ż</w:t>
      </w:r>
      <w:r w:rsidR="00E91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faktura zapłacona </w:t>
      </w:r>
      <w:r w:rsidR="0032514B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split payment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wystawiona była przez podmiot nieistniejący, stwierdziła czynności, których rzeczywiście nie był</w:t>
      </w:r>
      <w:r w:rsidR="00A3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potwierdziła poz</w:t>
      </w:r>
      <w:r w:rsidR="00A31928">
        <w:rPr>
          <w:rFonts w:ascii="Times New Roman" w:hAnsi="Times New Roman" w:cs="Times New Roman"/>
          <w:color w:val="000000" w:themeColor="text1"/>
          <w:sz w:val="24"/>
          <w:szCs w:val="24"/>
        </w:rPr>
        <w:t>orność lub nieważność czynności, opiewała na kwoty, niezgodne z faktyczną ceną.</w:t>
      </w:r>
      <w:r w:rsidR="007A1180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 oceniając przesłanki dobrej wiary i należytej staranności korzystać zapewne będzie z 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doświadczeń pozyskanych w przeszłości, trudno uznać</w:t>
      </w:r>
      <w:r w:rsidR="00612D5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więc</w:t>
      </w:r>
      <w:r w:rsidR="0028071C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ryzyko przypisania winy czy wiedzy o nierzetelności/ nierynkowości transakcji, </w:t>
      </w:r>
      <w:r w:rsidR="00612D5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staje się zmniejszone z racji split payment. </w:t>
      </w:r>
      <w:r w:rsidR="00EC3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Zasadnym jest zatem wprowadzanie w firmie procedury wypełniania wymogów należytej staranności, z uprzednim przeprowadzeniem symulacji kontroli skarbowej, ujawniającej zaniedbania i ryzyka podatkowe. </w:t>
      </w:r>
    </w:p>
    <w:p w:rsidR="00612D57" w:rsidRPr="00173121" w:rsidRDefault="00612D57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Korzyści z rozwiązania</w:t>
      </w:r>
      <w:r w:rsidR="00EC3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bardziej realnie policzalne będą w sektorze bankowy</w:t>
      </w:r>
      <w:r w:rsidR="004E1C98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 stronie budżetu państwa. </w:t>
      </w:r>
    </w:p>
    <w:p w:rsidR="00410A49" w:rsidRPr="00173121" w:rsidRDefault="00C718DE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 poza możliwością obrotu znacznymi zasobami pieniężnymi, których nie będzie mógł wydać podatnik, zyska na zwiększonej liczbie przelewów, gdyż podzielona płatność wyklucza </w:t>
      </w:r>
      <w:r w:rsidR="009577A1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dyspozycję </w:t>
      </w:r>
      <w:r w:rsidR="007851C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przelewów zgrupowanych. Budżet będzie miał natomiast łatwiejszy dostęp do środków w przypadku konieczności egzekucji zaległości podatkowych.  </w:t>
      </w:r>
      <w:r w:rsidR="00A3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nie </w:t>
      </w:r>
      <w:r w:rsidR="0061498B">
        <w:rPr>
          <w:rFonts w:ascii="Times New Roman" w:hAnsi="Times New Roman" w:cs="Times New Roman"/>
          <w:color w:val="000000" w:themeColor="text1"/>
          <w:sz w:val="24"/>
          <w:szCs w:val="24"/>
        </w:rPr>
        <w:t>można mieć żadnych wątpliwości na fakt, iż rozwiązanie przysporzy dodatkowych wpływów do budżetu oraz przyczyni się do eliminacji chęci podejmowania nieuczciw</w:t>
      </w:r>
      <w:r w:rsidR="00E9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transakcji handlowych. </w:t>
      </w:r>
    </w:p>
    <w:p w:rsidR="00410A49" w:rsidRPr="00173121" w:rsidRDefault="00410A49" w:rsidP="00A530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A49" w:rsidRDefault="007851C7" w:rsidP="00A530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Obawy, które </w:t>
      </w:r>
      <w:r w:rsidR="001B07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towarzyszą podatnikom </w:t>
      </w:r>
    </w:p>
    <w:p w:rsidR="00132781" w:rsidRPr="00173121" w:rsidRDefault="00132781" w:rsidP="00A530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18DE" w:rsidRPr="00173121" w:rsidRDefault="00C718DE" w:rsidP="007851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Polsce poziom obciążeń podatkowych nie odnosi się do zindywidualizowanych możliwości poniesienia podatku, dlatego </w:t>
      </w:r>
      <w:r w:rsidR="00FF04A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wśród podatników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4A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obciążenia fiskalne wywołują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często negatywne skutki społeczne, socjalne czy ekonomiczne. Niewątpliwie p</w:t>
      </w:r>
      <w:r w:rsidR="00FF04A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odatek jako przymus </w:t>
      </w:r>
      <w:r w:rsidR="00E9045A">
        <w:rPr>
          <w:rFonts w:ascii="Times New Roman" w:hAnsi="Times New Roman" w:cs="Times New Roman"/>
          <w:color w:val="000000" w:themeColor="text1"/>
          <w:sz w:val="24"/>
          <w:szCs w:val="24"/>
        </w:rPr>
        <w:t>bezzwrotnej daniny publicznoprawnej</w:t>
      </w:r>
      <w:r w:rsidR="00FF04A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wpływa na 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dochody</w:t>
      </w:r>
      <w:r w:rsidR="001B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 oraz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kształtuje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735">
        <w:rPr>
          <w:rFonts w:ascii="Times New Roman" w:hAnsi="Times New Roman" w:cs="Times New Roman"/>
          <w:color w:val="000000" w:themeColor="text1"/>
          <w:sz w:val="24"/>
          <w:szCs w:val="24"/>
        </w:rPr>
        <w:t>jego zdolności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konsumpcyjne.</w:t>
      </w:r>
      <w:r w:rsidR="008802D4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Zamrożenie kwoty VAT wpłynie </w:t>
      </w:r>
      <w:r w:rsidR="00FF04A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bezpośrednio </w:t>
      </w:r>
      <w:r w:rsidR="008802D4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na sytuację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E1C98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ochodową i majątkową podatnika oraz</w:t>
      </w:r>
      <w:r w:rsidR="008802D4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pozytywne dla tej części</w:t>
      </w:r>
      <w:r w:rsidR="004E1C98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przedsiębiorców</w:t>
      </w:r>
      <w:r w:rsidR="008802D4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w momencie nadejścia terminu płatności podatku miała puste konta. </w:t>
      </w:r>
      <w:r w:rsidR="00FF04A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pojawia się również z racji braku wytycznych, w jaki sposób rozliczać wzajemne kompensaty, przy stosowaniu podzielonej płatności do wszystkich faktur czy 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>jak uregulować podatek</w:t>
      </w:r>
      <w:r w:rsidR="00FF04A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podwykonawców w zamówieniach publicznych. 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nawet pracownicy Krajowej Informacji Skarbowej nie do końca potrafią udzielić pełnej odpowiedzi, gdyż brak jest jakiejkolwiek w tym zakresie praktyki. </w:t>
      </w:r>
    </w:p>
    <w:p w:rsidR="005F0CD3" w:rsidRPr="00173121" w:rsidRDefault="008802D4" w:rsidP="005F0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Nie trzeba ukrywać faktu, że p</w:t>
      </w:r>
      <w:r w:rsidR="005F0CD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odatnik poniesie zwiększone koszty pracy działów księgowych oraz koszty finansowe przez konieczność uruchamiania finansowania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zewnętrznego czy obsługę bankową. Mimo, że rachunki VAT są bezpłatne, banki ponosiły szereg kosztów związanych z ich uruchomieniem, które muszą się zwrócić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innej formie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>Płatności gotówkowe lub kartą za nabycia usług</w:t>
      </w:r>
      <w:r w:rsidR="008556D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5F0CD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towarów, nie pozwolą regulować kwoty podatku, a przez to zmniejszy się realna kwota środków do dysponowania przez przedsiębiorcę.  </w:t>
      </w:r>
    </w:p>
    <w:p w:rsidR="008556D5" w:rsidRPr="00173121" w:rsidRDefault="008556D5" w:rsidP="005F0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Żaden ekonomista nie zakwestionuje zasadności obaw o możliwoś</w:t>
      </w:r>
      <w:r w:rsidR="00CA4F23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utraty </w:t>
      </w:r>
      <w:r w:rsidR="00EC34BB">
        <w:rPr>
          <w:rFonts w:ascii="Times New Roman" w:hAnsi="Times New Roman" w:cs="Times New Roman"/>
          <w:color w:val="000000" w:themeColor="text1"/>
          <w:sz w:val="24"/>
          <w:szCs w:val="24"/>
        </w:rPr>
        <w:t>płynności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finansowej oraz fizycznego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braku środków na regulowanie bieżących zobowiązań niepodatkowych. Mechanizm podzielonej płatności </w:t>
      </w:r>
      <w:r w:rsidR="00ED437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potencjalnie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uszczelni wyciek kolejnyc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>h miliardów z budżetu, nie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mniej powinien być </w:t>
      </w:r>
      <w:r w:rsidR="00ED437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przede wszystkim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913ED9">
        <w:rPr>
          <w:rFonts w:ascii="Times New Roman" w:hAnsi="Times New Roman" w:cs="Times New Roman"/>
          <w:color w:val="000000" w:themeColor="text1"/>
          <w:sz w:val="24"/>
          <w:szCs w:val="24"/>
        </w:rPr>
        <w:t>rzucony podmiotom, które nie miały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</w:t>
      </w:r>
      <w:r w:rsidR="00163E14">
        <w:rPr>
          <w:rFonts w:ascii="Times New Roman" w:hAnsi="Times New Roman" w:cs="Times New Roman"/>
          <w:color w:val="000000" w:themeColor="text1"/>
          <w:sz w:val="24"/>
          <w:szCs w:val="24"/>
        </w:rPr>
        <w:t>ystalicznej historii podatkowej lub też firmom o wysokim progu osiąganych obrotów, z wyłączeniem</w:t>
      </w:r>
      <w:r w:rsidR="00132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3E1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mikroprzedsiębiorców</w:t>
      </w:r>
      <w:proofErr w:type="spellEnd"/>
      <w:r w:rsidR="00163E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należy zakładać, że każdemu przedsiębiorcy towarzyszy chęć dokonywania nierzetelnych rozliczeń podatkowych.  </w:t>
      </w:r>
    </w:p>
    <w:p w:rsidR="00C718DE" w:rsidRPr="007851C7" w:rsidRDefault="005F0CD3" w:rsidP="007851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Ci którzy boją się o przetrwanie na rynku</w:t>
      </w:r>
      <w:r w:rsidR="00ED437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556D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głównie </w:t>
      </w:r>
      <w:proofErr w:type="spellStart"/>
      <w:r w:rsidR="008556D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startupy</w:t>
      </w:r>
      <w:proofErr w:type="spellEnd"/>
      <w:r w:rsidR="008556D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8556D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>samozatrudnieni</w:t>
      </w:r>
      <w:proofErr w:type="spellEnd"/>
      <w:r w:rsidR="00ED4377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718D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powinni być </w:t>
      </w:r>
      <w:r w:rsidR="008556D5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stale </w:t>
      </w:r>
      <w:r w:rsidR="00C718DE"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przekonywani, iż płacone przez nich podatki będą wydawane </w:t>
      </w:r>
      <w:r w:rsidR="00EC34BB">
        <w:rPr>
          <w:rFonts w:ascii="Times New Roman" w:hAnsi="Times New Roman" w:cs="Times New Roman"/>
          <w:color w:val="000000" w:themeColor="text1"/>
          <w:sz w:val="24"/>
          <w:szCs w:val="24"/>
        </w:rPr>
        <w:t>na cele publiczne, które przyczynią się do budowania odczuwalnej przyjazności gospodarczej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139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3ED9">
        <w:rPr>
          <w:rFonts w:ascii="Times New Roman" w:hAnsi="Times New Roman" w:cs="Times New Roman"/>
          <w:color w:val="000000" w:themeColor="text1"/>
          <w:sz w:val="24"/>
          <w:szCs w:val="24"/>
        </w:rPr>
        <w:t>ówczas być może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ryzyka dot. </w:t>
      </w:r>
      <w:r w:rsidRPr="0017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split payment </w:t>
      </w:r>
      <w:r w:rsidR="0091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będą w ogóle zauważalne.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2FE6" w:rsidRDefault="00752FE6" w:rsidP="00751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FE6" w:rsidRPr="00752FE6" w:rsidRDefault="00752FE6" w:rsidP="00752F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2FE6">
        <w:rPr>
          <w:rFonts w:ascii="Times New Roman" w:hAnsi="Times New Roman" w:cs="Times New Roman"/>
          <w:b/>
          <w:i/>
          <w:sz w:val="24"/>
          <w:szCs w:val="24"/>
        </w:rPr>
        <w:t xml:space="preserve">Autor: </w:t>
      </w:r>
    </w:p>
    <w:p w:rsidR="00752FE6" w:rsidRPr="00EE457F" w:rsidRDefault="00752FE6" w:rsidP="001B07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>dr Alicja Tołwińska, Managing Associate, Doradca Podatkowy</w:t>
      </w:r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Grupa Chałas i Wspólnicy - Law | </w:t>
      </w:r>
      <w:proofErr w:type="spellStart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>Tax</w:t>
      </w:r>
      <w:proofErr w:type="spellEnd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Finance | Accounting</w:t>
      </w:r>
    </w:p>
    <w:sectPr w:rsidR="00752FE6" w:rsidRPr="00EE457F" w:rsidSect="00A530CB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21B"/>
    <w:multiLevelType w:val="multilevel"/>
    <w:tmpl w:val="0E809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C1EF3"/>
    <w:multiLevelType w:val="multilevel"/>
    <w:tmpl w:val="F244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1AF1"/>
    <w:rsid w:val="00067B6D"/>
    <w:rsid w:val="000B19A2"/>
    <w:rsid w:val="000D226E"/>
    <w:rsid w:val="000F6431"/>
    <w:rsid w:val="00132705"/>
    <w:rsid w:val="00132781"/>
    <w:rsid w:val="0014572C"/>
    <w:rsid w:val="00163E14"/>
    <w:rsid w:val="00173121"/>
    <w:rsid w:val="001A000B"/>
    <w:rsid w:val="001B0735"/>
    <w:rsid w:val="001D47D2"/>
    <w:rsid w:val="001E629F"/>
    <w:rsid w:val="0020429F"/>
    <w:rsid w:val="002300D1"/>
    <w:rsid w:val="00242F27"/>
    <w:rsid w:val="00242FB7"/>
    <w:rsid w:val="0028071C"/>
    <w:rsid w:val="002F3556"/>
    <w:rsid w:val="00316CE2"/>
    <w:rsid w:val="00324A79"/>
    <w:rsid w:val="0032514B"/>
    <w:rsid w:val="00334ACF"/>
    <w:rsid w:val="0034029F"/>
    <w:rsid w:val="0039603E"/>
    <w:rsid w:val="003E3B6B"/>
    <w:rsid w:val="00410A49"/>
    <w:rsid w:val="00431B1D"/>
    <w:rsid w:val="004647D8"/>
    <w:rsid w:val="00487AD5"/>
    <w:rsid w:val="004A2F59"/>
    <w:rsid w:val="004A72F0"/>
    <w:rsid w:val="004C7F00"/>
    <w:rsid w:val="004E1C98"/>
    <w:rsid w:val="004E73E9"/>
    <w:rsid w:val="00500BFC"/>
    <w:rsid w:val="005211D3"/>
    <w:rsid w:val="00522DE7"/>
    <w:rsid w:val="00547C03"/>
    <w:rsid w:val="00553461"/>
    <w:rsid w:val="005761A0"/>
    <w:rsid w:val="005A5911"/>
    <w:rsid w:val="005B3A04"/>
    <w:rsid w:val="005D73D6"/>
    <w:rsid w:val="005E080E"/>
    <w:rsid w:val="005F0C80"/>
    <w:rsid w:val="005F0CD3"/>
    <w:rsid w:val="00603D95"/>
    <w:rsid w:val="00612D57"/>
    <w:rsid w:val="0061498B"/>
    <w:rsid w:val="00631FF1"/>
    <w:rsid w:val="00637AA9"/>
    <w:rsid w:val="00684432"/>
    <w:rsid w:val="00686F7C"/>
    <w:rsid w:val="0069139D"/>
    <w:rsid w:val="00751828"/>
    <w:rsid w:val="00752FE6"/>
    <w:rsid w:val="00762201"/>
    <w:rsid w:val="00772CC9"/>
    <w:rsid w:val="00775C5A"/>
    <w:rsid w:val="007851C7"/>
    <w:rsid w:val="007A1180"/>
    <w:rsid w:val="007D4FBB"/>
    <w:rsid w:val="00826615"/>
    <w:rsid w:val="008556D5"/>
    <w:rsid w:val="00863052"/>
    <w:rsid w:val="00876B22"/>
    <w:rsid w:val="008802D4"/>
    <w:rsid w:val="008D04FD"/>
    <w:rsid w:val="00901325"/>
    <w:rsid w:val="00913ED9"/>
    <w:rsid w:val="00940141"/>
    <w:rsid w:val="009577A1"/>
    <w:rsid w:val="009C6B84"/>
    <w:rsid w:val="009F3868"/>
    <w:rsid w:val="009F6429"/>
    <w:rsid w:val="00A31928"/>
    <w:rsid w:val="00A530CB"/>
    <w:rsid w:val="00A76434"/>
    <w:rsid w:val="00A84F2C"/>
    <w:rsid w:val="00AA624D"/>
    <w:rsid w:val="00AF54F1"/>
    <w:rsid w:val="00B151C3"/>
    <w:rsid w:val="00B41AF1"/>
    <w:rsid w:val="00BA7B52"/>
    <w:rsid w:val="00BB6632"/>
    <w:rsid w:val="00BC7110"/>
    <w:rsid w:val="00BD3D14"/>
    <w:rsid w:val="00C3365A"/>
    <w:rsid w:val="00C718DE"/>
    <w:rsid w:val="00C82182"/>
    <w:rsid w:val="00CA4F23"/>
    <w:rsid w:val="00D11159"/>
    <w:rsid w:val="00D43C9D"/>
    <w:rsid w:val="00D46A44"/>
    <w:rsid w:val="00D46F8A"/>
    <w:rsid w:val="00D80138"/>
    <w:rsid w:val="00D9360D"/>
    <w:rsid w:val="00DC1A5D"/>
    <w:rsid w:val="00E45C93"/>
    <w:rsid w:val="00E8250E"/>
    <w:rsid w:val="00E9045A"/>
    <w:rsid w:val="00E91F23"/>
    <w:rsid w:val="00EC34BB"/>
    <w:rsid w:val="00ED4377"/>
    <w:rsid w:val="00ED7B83"/>
    <w:rsid w:val="00EE457F"/>
    <w:rsid w:val="00F83189"/>
    <w:rsid w:val="00FD1F22"/>
    <w:rsid w:val="00FE3690"/>
    <w:rsid w:val="00FF04A5"/>
    <w:rsid w:val="00F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8DE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3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7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D529A-2841-4258-95EB-CC494794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6239</Characters>
  <Application>Microsoft Office Word</Application>
  <DocSecurity>0</DocSecurity>
  <Lines>113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Tołwińska</dc:creator>
  <cp:lastModifiedBy>Alicja Tołwińska</cp:lastModifiedBy>
  <cp:revision>3</cp:revision>
  <dcterms:created xsi:type="dcterms:W3CDTF">2018-07-03T10:13:00Z</dcterms:created>
  <dcterms:modified xsi:type="dcterms:W3CDTF">2018-07-03T10:15:00Z</dcterms:modified>
</cp:coreProperties>
</file>