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B6" w:rsidRPr="00BA4569" w:rsidRDefault="00421F81" w:rsidP="00043ED6">
      <w:pPr>
        <w:pStyle w:val="NormalnyWeb"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  <w:r w:rsidRPr="00BA4569">
        <w:rPr>
          <w:rFonts w:asciiTheme="minorHAnsi" w:hAnsiTheme="minorHAnsi"/>
          <w:b/>
          <w:sz w:val="22"/>
          <w:szCs w:val="22"/>
        </w:rPr>
        <w:t xml:space="preserve">Warszawa, </w:t>
      </w:r>
      <w:r w:rsidR="009A7FE1">
        <w:rPr>
          <w:rFonts w:asciiTheme="minorHAnsi" w:hAnsiTheme="minorHAnsi"/>
          <w:b/>
          <w:sz w:val="22"/>
          <w:szCs w:val="22"/>
        </w:rPr>
        <w:t>25</w:t>
      </w:r>
      <w:r w:rsidR="005F614C" w:rsidRPr="00BA4569">
        <w:rPr>
          <w:rFonts w:asciiTheme="minorHAnsi" w:hAnsiTheme="minorHAnsi"/>
          <w:b/>
          <w:sz w:val="22"/>
          <w:szCs w:val="22"/>
        </w:rPr>
        <w:t>.0</w:t>
      </w:r>
      <w:r w:rsidR="009A7FE1">
        <w:rPr>
          <w:rFonts w:asciiTheme="minorHAnsi" w:hAnsiTheme="minorHAnsi"/>
          <w:b/>
          <w:sz w:val="22"/>
          <w:szCs w:val="22"/>
        </w:rPr>
        <w:t>6</w:t>
      </w:r>
      <w:r w:rsidRPr="00BA4569">
        <w:rPr>
          <w:rFonts w:asciiTheme="minorHAnsi" w:hAnsiTheme="minorHAnsi"/>
          <w:b/>
          <w:sz w:val="22"/>
          <w:szCs w:val="22"/>
        </w:rPr>
        <w:t>.2018 r.</w:t>
      </w:r>
    </w:p>
    <w:p w:rsidR="0049632B" w:rsidRPr="0049632B" w:rsidRDefault="0049632B" w:rsidP="0049632B">
      <w:pPr>
        <w:jc w:val="center"/>
        <w:rPr>
          <w:rFonts w:ascii="Calibri" w:hAnsi="Calibri"/>
          <w:b/>
          <w:sz w:val="20"/>
          <w:szCs w:val="20"/>
        </w:rPr>
      </w:pPr>
      <w:r w:rsidRPr="0049632B">
        <w:rPr>
          <w:rFonts w:ascii="Calibri" w:hAnsi="Calibri"/>
          <w:b/>
          <w:sz w:val="20"/>
          <w:szCs w:val="20"/>
        </w:rPr>
        <w:t>Skuteczność podniesienia zarzutu przedawnienia roszczenia w postępowaniu cywilnym w świetle instytucji nadużycia prawa podmiotowego</w:t>
      </w:r>
    </w:p>
    <w:p w:rsidR="0049632B" w:rsidRPr="0049632B" w:rsidRDefault="0049632B" w:rsidP="0049632B">
      <w:pPr>
        <w:jc w:val="both"/>
        <w:rPr>
          <w:rFonts w:ascii="Calibri" w:hAnsi="Calibri"/>
        </w:rPr>
      </w:pPr>
    </w:p>
    <w:p w:rsidR="0049632B" w:rsidRPr="0049632B" w:rsidRDefault="0049632B" w:rsidP="007E6BEC">
      <w:pPr>
        <w:pStyle w:val="Akapitzlist"/>
        <w:jc w:val="both"/>
        <w:rPr>
          <w:rFonts w:ascii="Calibri" w:hAnsi="Calibri"/>
          <w:sz w:val="24"/>
          <w:szCs w:val="24"/>
        </w:rPr>
      </w:pPr>
      <w:r w:rsidRPr="0049632B">
        <w:rPr>
          <w:rFonts w:ascii="Calibri" w:hAnsi="Calibri"/>
          <w:sz w:val="24"/>
          <w:szCs w:val="24"/>
        </w:rPr>
        <w:t xml:space="preserve">Wstęp. </w:t>
      </w:r>
    </w:p>
    <w:p w:rsidR="0049632B" w:rsidRPr="0049632B" w:rsidRDefault="0049632B" w:rsidP="0049632B">
      <w:pPr>
        <w:jc w:val="both"/>
        <w:rPr>
          <w:rFonts w:ascii="Calibri" w:hAnsi="Calibri"/>
          <w:sz w:val="20"/>
          <w:szCs w:val="20"/>
        </w:rPr>
      </w:pPr>
      <w:r w:rsidRPr="0049632B">
        <w:rPr>
          <w:rFonts w:ascii="Calibri" w:hAnsi="Calibri"/>
          <w:sz w:val="20"/>
          <w:szCs w:val="20"/>
        </w:rPr>
        <w:t>Przedawnienie roszczeń stanowi jeden z przypadku tzw. dawności, czyli instytucji wiążącej skutki prawne z upływem czasu (</w:t>
      </w:r>
      <w:r w:rsidRPr="0049632B">
        <w:rPr>
          <w:rFonts w:ascii="Calibri" w:hAnsi="Calibri"/>
          <w:i/>
          <w:sz w:val="20"/>
          <w:szCs w:val="20"/>
        </w:rPr>
        <w:t xml:space="preserve">M.  Sekuła – </w:t>
      </w:r>
      <w:proofErr w:type="spellStart"/>
      <w:r w:rsidRPr="0049632B">
        <w:rPr>
          <w:rFonts w:ascii="Calibri" w:hAnsi="Calibri"/>
          <w:i/>
          <w:sz w:val="20"/>
          <w:szCs w:val="20"/>
        </w:rPr>
        <w:t>Leleno</w:t>
      </w:r>
      <w:proofErr w:type="spellEnd"/>
      <w:r w:rsidRPr="0049632B">
        <w:rPr>
          <w:rFonts w:ascii="Calibri" w:hAnsi="Calibri"/>
          <w:i/>
          <w:sz w:val="20"/>
          <w:szCs w:val="20"/>
        </w:rPr>
        <w:t>, Podniesienie zarzutu przedawnienia a nadużycie prawa podmiotowego w rozumieniu art. 5 K.C. na tle orzecznictwa Sądu Najwyższego, str. 103, artykuł dostępny: https://iusnovum.lazarski.pl/fileadmin/user_upload/dokumenty/czasopisma/ius-novum/2011/Ius_Novum_1_6_2011_Leleno.pdf</w:t>
      </w:r>
      <w:r w:rsidRPr="0049632B">
        <w:rPr>
          <w:rFonts w:ascii="Calibri" w:hAnsi="Calibri"/>
          <w:sz w:val="20"/>
          <w:szCs w:val="20"/>
        </w:rPr>
        <w:t>). Wskazuje się, że jest to  termin, który „ogranicza pod względem czasowym dochodzenie roszczenia majątkowego, a skutkiem jego upływu nie jest wygaśnięcie roszczenia, lecz niemożność jego dochodzenia” (op. cit., str. 103).</w:t>
      </w:r>
    </w:p>
    <w:p w:rsidR="00940E38" w:rsidRDefault="00940E38" w:rsidP="0049632B">
      <w:pPr>
        <w:jc w:val="both"/>
        <w:rPr>
          <w:rFonts w:ascii="Calibri" w:hAnsi="Calibri"/>
          <w:sz w:val="20"/>
          <w:szCs w:val="20"/>
        </w:rPr>
      </w:pPr>
    </w:p>
    <w:p w:rsidR="0049632B" w:rsidRDefault="0049632B" w:rsidP="0049632B">
      <w:pPr>
        <w:jc w:val="both"/>
        <w:rPr>
          <w:rFonts w:ascii="Calibri" w:hAnsi="Calibri"/>
          <w:sz w:val="20"/>
          <w:szCs w:val="20"/>
        </w:rPr>
      </w:pPr>
      <w:r w:rsidRPr="0049632B">
        <w:rPr>
          <w:rFonts w:ascii="Calibri" w:hAnsi="Calibri"/>
          <w:sz w:val="20"/>
          <w:szCs w:val="20"/>
        </w:rPr>
        <w:t>Zagadnienie zarzutu przedawnienia w kontekście instytucji nadużycia prawa podmiotowego jest niezwykle doniosłe praktycznie jak również interesujące teoretycznie. Istota problemu sprowadza się do rozważenia i przesądzenia możliwości zastosowania instytucji nadużycia prawa podmiotowego wyrażonej w przepisie art. 5 Kodeksu cywilnego i tym samym nieuwzględnienia przez sąd tego zarzutu. Kwestia ta pomimo, że rozważana w doktrynie i judykaturze od dawna, nadal pozostaje aktualna. Co więcej, ma ona niezwykle ważne przełożenie na praktykę stosowania prawa. Udzielenie bowiem odpowiedzi na powyższe pytanie jest równoznaczne z przyjęciem skutecznej możności dochodzenia przedawnionego roszczenia bądź też niemożności jego skutecznego dochodzenia. Autorka niniejszego artykułu wyraźnie opowiada się za dominującym poglądem, zgodnie z którym, możliwe jest podniesienie zarzutu nadużycia prawa podmiotowego wobec podniesienia zarzutu przedawnienia roszczenia, przy uwzględnieniu okoliczności omówionych w dalszej części tego opracowania.</w:t>
      </w:r>
    </w:p>
    <w:p w:rsidR="0049632B" w:rsidRPr="0049632B" w:rsidRDefault="0049632B" w:rsidP="0049632B">
      <w:pPr>
        <w:jc w:val="both"/>
        <w:rPr>
          <w:rFonts w:ascii="Calibri" w:hAnsi="Calibri"/>
          <w:sz w:val="20"/>
          <w:szCs w:val="20"/>
        </w:rPr>
      </w:pPr>
    </w:p>
    <w:p w:rsidR="0049632B" w:rsidRPr="0049632B" w:rsidRDefault="0049632B" w:rsidP="001A0BE1">
      <w:pPr>
        <w:pStyle w:val="Akapitzlist"/>
        <w:jc w:val="both"/>
        <w:rPr>
          <w:rFonts w:ascii="Calibri" w:hAnsi="Calibri"/>
          <w:sz w:val="24"/>
          <w:szCs w:val="24"/>
        </w:rPr>
      </w:pPr>
      <w:r w:rsidRPr="0049632B">
        <w:rPr>
          <w:rFonts w:ascii="Calibri" w:hAnsi="Calibri"/>
          <w:sz w:val="24"/>
          <w:szCs w:val="24"/>
        </w:rPr>
        <w:t>Przedawnienie. Zarys problematyki.</w:t>
      </w:r>
    </w:p>
    <w:p w:rsidR="0049632B" w:rsidRPr="0049632B" w:rsidRDefault="0049632B" w:rsidP="0049632B">
      <w:pPr>
        <w:jc w:val="both"/>
        <w:rPr>
          <w:rFonts w:ascii="Calibri" w:hAnsi="Calibri"/>
          <w:i/>
          <w:sz w:val="20"/>
          <w:szCs w:val="20"/>
        </w:rPr>
      </w:pPr>
      <w:r w:rsidRPr="0049632B">
        <w:rPr>
          <w:rFonts w:ascii="Calibri" w:hAnsi="Calibri"/>
          <w:sz w:val="20"/>
          <w:szCs w:val="20"/>
        </w:rPr>
        <w:t xml:space="preserve">Jak zostało wyżej wskazane przedawnienie stanowi jeden z przypadku tzw. dawności, czyli instytucji wiążącej skutki prawne z upływem czasu. Zarówno w doktrynie jak i w orzecznictwie wskazuje się na różne cele oraz funkcje jakie ma pełnić instytucja przedawnienia w polskim porządku prawnym (zob. A. </w:t>
      </w:r>
      <w:proofErr w:type="spellStart"/>
      <w:r w:rsidRPr="0049632B">
        <w:rPr>
          <w:rFonts w:ascii="Calibri" w:hAnsi="Calibri"/>
          <w:sz w:val="20"/>
          <w:szCs w:val="20"/>
        </w:rPr>
        <w:t>Szpunar</w:t>
      </w:r>
      <w:proofErr w:type="spellEnd"/>
      <w:r w:rsidRPr="0049632B">
        <w:rPr>
          <w:rFonts w:ascii="Calibri" w:hAnsi="Calibri"/>
          <w:sz w:val="20"/>
          <w:szCs w:val="20"/>
        </w:rPr>
        <w:t xml:space="preserve">, </w:t>
      </w:r>
      <w:r w:rsidR="00940E38">
        <w:rPr>
          <w:rFonts w:ascii="Calibri" w:hAnsi="Calibri"/>
          <w:i/>
          <w:sz w:val="20"/>
          <w:szCs w:val="20"/>
        </w:rPr>
        <w:t xml:space="preserve">Nadużycie prawa </w:t>
      </w:r>
      <w:r w:rsidRPr="0049632B">
        <w:rPr>
          <w:rFonts w:ascii="Calibri" w:hAnsi="Calibri"/>
          <w:i/>
          <w:sz w:val="20"/>
          <w:szCs w:val="20"/>
        </w:rPr>
        <w:t>w dziedzinie prze</w:t>
      </w:r>
      <w:r w:rsidR="00940E38">
        <w:rPr>
          <w:rFonts w:ascii="Calibri" w:hAnsi="Calibri"/>
          <w:i/>
          <w:sz w:val="20"/>
          <w:szCs w:val="20"/>
        </w:rPr>
        <w:t xml:space="preserve">dawnienia, publikacja dostępna: </w:t>
      </w:r>
      <w:r w:rsidRPr="0049632B">
        <w:rPr>
          <w:rFonts w:ascii="Calibri" w:hAnsi="Calibri"/>
          <w:i/>
          <w:sz w:val="20"/>
          <w:szCs w:val="20"/>
        </w:rPr>
        <w:t xml:space="preserve">https://repozytorium.amu.edu.pl/bitstream/10593/18902/1/004%20ADAM%20SZPUNAR.pdf). </w:t>
      </w:r>
    </w:p>
    <w:p w:rsidR="00940E38" w:rsidRDefault="00940E38" w:rsidP="0049632B">
      <w:pPr>
        <w:jc w:val="both"/>
        <w:rPr>
          <w:rFonts w:ascii="Calibri" w:hAnsi="Calibri"/>
          <w:sz w:val="20"/>
          <w:szCs w:val="20"/>
        </w:rPr>
      </w:pPr>
    </w:p>
    <w:p w:rsidR="0049632B" w:rsidRPr="0049632B" w:rsidRDefault="0049632B" w:rsidP="0049632B">
      <w:pPr>
        <w:jc w:val="both"/>
        <w:rPr>
          <w:rFonts w:ascii="Calibri" w:hAnsi="Calibri"/>
          <w:sz w:val="20"/>
          <w:szCs w:val="20"/>
        </w:rPr>
      </w:pPr>
      <w:r w:rsidRPr="0049632B">
        <w:rPr>
          <w:rFonts w:ascii="Calibri" w:hAnsi="Calibri"/>
          <w:sz w:val="20"/>
          <w:szCs w:val="20"/>
        </w:rPr>
        <w:t xml:space="preserve">Należy pamiętać, iż podniesienie przez dłużnika zarzutu przedawnienia powoduje doniosłe konsekwencje w sferze bytu przedawnionego roszczenia, gdyż umożliwia dłużnikowi uchylenie się od jego zaspokojenia. Dług nadal istnieje jednakże staje się zobowiązaniem naturalnym. Zgodnie z przepisem art. 117 § 2 Kodeksu cywilnego po upływie terminu przedawnienia ten, przeciwko komu przysługuje roszczenie, może uchylić się od jego zaspokojenia, chyba że zrzeka się korzystania z zarzutu przedawnienia. Podkreślić przy tym należy, iż upływ terminu przedawnienia nie powoduje, że roszczenie przestaje być zaskarżalne czy też nie powoduje jego wygaśnięcia. Roszczenie takie nadal może być dochodzone w postępowaniu cywilnym.  Dopiero skuteczne podniesienie zarzutu przedawnienia w postępowaniu sądowym powoduje pozbawienie roszczenia przymiotu zaskarżalności. Uwzględnienie przez sąd zarzutu przedawnienia powoduje oddalenie powództwa. </w:t>
      </w:r>
    </w:p>
    <w:p w:rsidR="00940E38" w:rsidRDefault="00940E38" w:rsidP="0049632B">
      <w:pPr>
        <w:jc w:val="both"/>
        <w:rPr>
          <w:rFonts w:ascii="Calibri" w:hAnsi="Calibri"/>
          <w:sz w:val="20"/>
          <w:szCs w:val="20"/>
        </w:rPr>
      </w:pPr>
    </w:p>
    <w:p w:rsidR="0049632B" w:rsidRPr="0049632B" w:rsidRDefault="0049632B" w:rsidP="0049632B">
      <w:pPr>
        <w:jc w:val="both"/>
        <w:rPr>
          <w:rFonts w:ascii="Calibri" w:hAnsi="Calibri"/>
          <w:sz w:val="20"/>
          <w:szCs w:val="20"/>
        </w:rPr>
      </w:pPr>
      <w:r w:rsidRPr="0049632B">
        <w:rPr>
          <w:rFonts w:ascii="Calibri" w:hAnsi="Calibri"/>
          <w:sz w:val="20"/>
          <w:szCs w:val="20"/>
        </w:rPr>
        <w:t>Trybunał Konstytucyjny w wyroku z dnia 1 września 2006 r. uznał, iż  instrument prawny w postaci zarzutu przedawnienia powinien zawsze równoważyć różne, zazwyczaj sprzeczne interesy uczestników obrotu cywilnoprawnego (</w:t>
      </w:r>
      <w:r w:rsidRPr="0049632B">
        <w:rPr>
          <w:rFonts w:ascii="Calibri" w:hAnsi="Calibri"/>
          <w:i/>
          <w:sz w:val="20"/>
          <w:szCs w:val="20"/>
        </w:rPr>
        <w:t xml:space="preserve">zob. wyrok Trybunału Konstytucyjnego z 1 września 2006 r., sygn. akt: 14/05, </w:t>
      </w:r>
      <w:proofErr w:type="spellStart"/>
      <w:r w:rsidRPr="0049632B">
        <w:rPr>
          <w:rFonts w:ascii="Calibri" w:hAnsi="Calibri"/>
          <w:i/>
          <w:sz w:val="20"/>
          <w:szCs w:val="20"/>
        </w:rPr>
        <w:t>OTK-A</w:t>
      </w:r>
      <w:proofErr w:type="spellEnd"/>
      <w:r w:rsidRPr="0049632B">
        <w:rPr>
          <w:rFonts w:ascii="Calibri" w:hAnsi="Calibri"/>
          <w:i/>
          <w:sz w:val="20"/>
          <w:szCs w:val="20"/>
        </w:rPr>
        <w:t xml:space="preserve"> 2006, nr 8, poz. 97</w:t>
      </w:r>
      <w:r w:rsidRPr="0049632B">
        <w:rPr>
          <w:rFonts w:ascii="Calibri" w:hAnsi="Calibri"/>
          <w:sz w:val="20"/>
          <w:szCs w:val="20"/>
        </w:rPr>
        <w:t>). Podnosi się bowiem, że instytucja przedawnienia stanowi wynik godzenia sprzecznych interesów, tj. z jednej strony interesu dłużnika oraz interesu publicznego a drugiej interesu wierzyciela.</w:t>
      </w:r>
    </w:p>
    <w:p w:rsidR="0049632B" w:rsidRPr="0049632B" w:rsidRDefault="0049632B" w:rsidP="0049632B">
      <w:pPr>
        <w:jc w:val="both"/>
        <w:rPr>
          <w:rFonts w:ascii="Calibri" w:hAnsi="Calibri"/>
          <w:sz w:val="20"/>
          <w:szCs w:val="20"/>
        </w:rPr>
      </w:pPr>
      <w:r w:rsidRPr="0049632B">
        <w:rPr>
          <w:rFonts w:ascii="Calibri" w:hAnsi="Calibri"/>
          <w:sz w:val="20"/>
          <w:szCs w:val="20"/>
        </w:rPr>
        <w:t>Akcentuje się również, że uzasadnieniem prawnym przedawnienia jest także bezpieczeństwo prawne dłużnika, przy czym jest ono rozumiane jako pewność co do własnej sytuacji prawnej (</w:t>
      </w:r>
      <w:r w:rsidRPr="0049632B">
        <w:rPr>
          <w:rFonts w:ascii="Calibri" w:hAnsi="Calibri"/>
          <w:i/>
          <w:sz w:val="20"/>
          <w:szCs w:val="20"/>
        </w:rPr>
        <w:t xml:space="preserve">P. Zakrzewski, Komentarz do art. 117 Kodeksu cywilnego w: M. </w:t>
      </w:r>
      <w:proofErr w:type="spellStart"/>
      <w:r w:rsidRPr="0049632B">
        <w:rPr>
          <w:rFonts w:ascii="Calibri" w:hAnsi="Calibri"/>
          <w:i/>
          <w:sz w:val="20"/>
          <w:szCs w:val="20"/>
        </w:rPr>
        <w:t>Fras</w:t>
      </w:r>
      <w:proofErr w:type="spellEnd"/>
      <w:r w:rsidRPr="0049632B">
        <w:rPr>
          <w:rFonts w:ascii="Calibri" w:hAnsi="Calibri"/>
          <w:i/>
          <w:sz w:val="20"/>
          <w:szCs w:val="20"/>
        </w:rPr>
        <w:t xml:space="preserve">, M. </w:t>
      </w:r>
      <w:proofErr w:type="spellStart"/>
      <w:r w:rsidRPr="0049632B">
        <w:rPr>
          <w:rFonts w:ascii="Calibri" w:hAnsi="Calibri"/>
          <w:i/>
          <w:sz w:val="20"/>
          <w:szCs w:val="20"/>
        </w:rPr>
        <w:t>Habas</w:t>
      </w:r>
      <w:proofErr w:type="spellEnd"/>
      <w:r w:rsidRPr="0049632B">
        <w:rPr>
          <w:rFonts w:ascii="Calibri" w:hAnsi="Calibri"/>
          <w:i/>
          <w:sz w:val="20"/>
          <w:szCs w:val="20"/>
        </w:rPr>
        <w:t xml:space="preserve"> (red.) Kodeks cywilny. Tom I. Część ogólna (art. 1-125</w:t>
      </w:r>
      <w:r w:rsidRPr="0049632B">
        <w:rPr>
          <w:rFonts w:ascii="Calibri" w:hAnsi="Calibri"/>
          <w:sz w:val="20"/>
          <w:szCs w:val="20"/>
        </w:rPr>
        <w:t xml:space="preserve">). Przepisy prawne regulujące przedawnienie należą do szczególnej kategorii norm prawnych, określanych w doktrynie jako porządkujące. W ostatnim czasie wyraźnie podkreśla się, że normy te powinny nie tylko pełnić funkcję </w:t>
      </w:r>
      <w:r w:rsidRPr="0049632B">
        <w:rPr>
          <w:rFonts w:ascii="Calibri" w:hAnsi="Calibri"/>
          <w:sz w:val="20"/>
          <w:szCs w:val="20"/>
        </w:rPr>
        <w:lastRenderedPageBreak/>
        <w:t xml:space="preserve">porządkującą ale również funkcję wychowawczą, poprzez oddziaływanie na osoby uprawnione, aby terminowo dochodziły swoich roszczeń </w:t>
      </w:r>
      <w:r w:rsidRPr="0049632B">
        <w:rPr>
          <w:rFonts w:ascii="Calibri" w:hAnsi="Calibri"/>
          <w:i/>
          <w:sz w:val="20"/>
          <w:szCs w:val="20"/>
        </w:rPr>
        <w:t xml:space="preserve">(zob. A. </w:t>
      </w:r>
      <w:proofErr w:type="spellStart"/>
      <w:r w:rsidRPr="0049632B">
        <w:rPr>
          <w:rFonts w:ascii="Calibri" w:hAnsi="Calibri"/>
          <w:i/>
          <w:sz w:val="20"/>
          <w:szCs w:val="20"/>
        </w:rPr>
        <w:t>Szpunar</w:t>
      </w:r>
      <w:proofErr w:type="spellEnd"/>
      <w:r w:rsidRPr="0049632B">
        <w:rPr>
          <w:rFonts w:ascii="Calibri" w:hAnsi="Calibri"/>
          <w:i/>
          <w:sz w:val="20"/>
          <w:szCs w:val="20"/>
        </w:rPr>
        <w:t>, Nadużycie prawa w dziedzinie przedawnienia, publikacja dostępna: https://repozytorium.amu.edu.pl/bitstream/10593/18902/1/004%20ADAM%20SZPUNAR.pdf</w:t>
      </w:r>
      <w:r w:rsidRPr="0049632B">
        <w:rPr>
          <w:rFonts w:ascii="Calibri" w:hAnsi="Calibri"/>
          <w:sz w:val="20"/>
          <w:szCs w:val="20"/>
        </w:rPr>
        <w:t xml:space="preserve">). </w:t>
      </w:r>
    </w:p>
    <w:p w:rsidR="0049632B" w:rsidRDefault="0049632B" w:rsidP="0049632B">
      <w:pPr>
        <w:jc w:val="both"/>
        <w:rPr>
          <w:rFonts w:ascii="Calibri" w:hAnsi="Calibri"/>
          <w:sz w:val="20"/>
          <w:szCs w:val="20"/>
        </w:rPr>
      </w:pPr>
      <w:r w:rsidRPr="0049632B">
        <w:rPr>
          <w:rFonts w:ascii="Calibri" w:hAnsi="Calibri"/>
          <w:sz w:val="20"/>
          <w:szCs w:val="20"/>
        </w:rPr>
        <w:t xml:space="preserve">Długość terminów przedawnienia uregulowana jest przepisami bezwzględnie obowiązującymi. Powyższe oznacza, iż nie jest możliwe uregulowanie w czynności prawnej momentu od którego należy liczyć bieg terminu przedawnienia. Możliwe jest jedynie określenie momentu od którego strony uznają roszczenia za wymagalne, co bezpośrednio wpływa na datę w której roszczenia ulegną przedawnieniu.  </w:t>
      </w:r>
    </w:p>
    <w:p w:rsidR="0049632B" w:rsidRPr="0049632B" w:rsidRDefault="0049632B" w:rsidP="0049632B">
      <w:pPr>
        <w:jc w:val="both"/>
        <w:rPr>
          <w:rFonts w:ascii="Calibri" w:hAnsi="Calibri"/>
          <w:sz w:val="20"/>
          <w:szCs w:val="20"/>
        </w:rPr>
      </w:pPr>
    </w:p>
    <w:p w:rsidR="0049632B" w:rsidRPr="0049632B" w:rsidRDefault="0049632B" w:rsidP="001A0BE1">
      <w:pPr>
        <w:pStyle w:val="Akapitzlist"/>
        <w:jc w:val="both"/>
        <w:rPr>
          <w:rFonts w:ascii="Calibri" w:hAnsi="Calibri"/>
          <w:sz w:val="24"/>
          <w:szCs w:val="24"/>
        </w:rPr>
      </w:pPr>
      <w:r w:rsidRPr="0049632B">
        <w:rPr>
          <w:rFonts w:ascii="Calibri" w:hAnsi="Calibri"/>
          <w:sz w:val="24"/>
          <w:szCs w:val="24"/>
        </w:rPr>
        <w:t xml:space="preserve">Podniesienie zarzutu przedawnienia w postępowaniu sądowym. Nadużycie prawa podmiotowego. </w:t>
      </w:r>
    </w:p>
    <w:p w:rsidR="0049632B" w:rsidRPr="0049632B" w:rsidRDefault="0049632B" w:rsidP="0049632B">
      <w:pPr>
        <w:jc w:val="both"/>
        <w:rPr>
          <w:rFonts w:ascii="Calibri" w:hAnsi="Calibri"/>
          <w:sz w:val="20"/>
          <w:szCs w:val="20"/>
        </w:rPr>
      </w:pPr>
      <w:r w:rsidRPr="0049632B">
        <w:rPr>
          <w:rFonts w:ascii="Calibri" w:hAnsi="Calibri"/>
          <w:sz w:val="20"/>
          <w:szCs w:val="20"/>
        </w:rPr>
        <w:t xml:space="preserve">Podniesienie zarzutu przedawnienia w postępowaniu sądowym stanowi wykonanie uprawnienia dłużnika i podlega ono ogólnym zasadom wykonywania prawa podmiotowego określonym w przepisie art. 5 Kodeksu cywilnego </w:t>
      </w:r>
      <w:r w:rsidRPr="0049632B">
        <w:rPr>
          <w:rFonts w:ascii="Calibri" w:hAnsi="Calibri"/>
          <w:i/>
          <w:sz w:val="20"/>
          <w:szCs w:val="20"/>
        </w:rPr>
        <w:t xml:space="preserve">(P. Zakrzewski, Komentarz do art. 117 Kodeksu cywilnego w: M. </w:t>
      </w:r>
      <w:proofErr w:type="spellStart"/>
      <w:r w:rsidRPr="0049632B">
        <w:rPr>
          <w:rFonts w:ascii="Calibri" w:hAnsi="Calibri"/>
          <w:i/>
          <w:sz w:val="20"/>
          <w:szCs w:val="20"/>
        </w:rPr>
        <w:t>Fras</w:t>
      </w:r>
      <w:proofErr w:type="spellEnd"/>
      <w:r w:rsidRPr="0049632B">
        <w:rPr>
          <w:rFonts w:ascii="Calibri" w:hAnsi="Calibri"/>
          <w:i/>
          <w:sz w:val="20"/>
          <w:szCs w:val="20"/>
        </w:rPr>
        <w:t xml:space="preserve">, M. </w:t>
      </w:r>
      <w:proofErr w:type="spellStart"/>
      <w:r w:rsidRPr="0049632B">
        <w:rPr>
          <w:rFonts w:ascii="Calibri" w:hAnsi="Calibri"/>
          <w:i/>
          <w:sz w:val="20"/>
          <w:szCs w:val="20"/>
        </w:rPr>
        <w:t>Habas</w:t>
      </w:r>
      <w:proofErr w:type="spellEnd"/>
      <w:r w:rsidRPr="0049632B">
        <w:rPr>
          <w:rFonts w:ascii="Calibri" w:hAnsi="Calibri"/>
          <w:i/>
          <w:sz w:val="20"/>
          <w:szCs w:val="20"/>
        </w:rPr>
        <w:t xml:space="preserve"> (red.) Kodeks cywilny. Tom I. Część ogólna (art. 1-125</w:t>
      </w:r>
      <w:r w:rsidRPr="0049632B">
        <w:rPr>
          <w:rFonts w:ascii="Calibri" w:hAnsi="Calibri"/>
          <w:sz w:val="20"/>
          <w:szCs w:val="20"/>
        </w:rPr>
        <w:t xml:space="preserve">).  </w:t>
      </w:r>
    </w:p>
    <w:p w:rsidR="0049632B" w:rsidRPr="0049632B" w:rsidRDefault="0049632B" w:rsidP="0049632B">
      <w:pPr>
        <w:jc w:val="both"/>
        <w:rPr>
          <w:rFonts w:ascii="Calibri" w:hAnsi="Calibri"/>
          <w:sz w:val="20"/>
          <w:szCs w:val="20"/>
        </w:rPr>
      </w:pPr>
      <w:r w:rsidRPr="0049632B">
        <w:rPr>
          <w:rFonts w:ascii="Calibri" w:hAnsi="Calibri"/>
          <w:sz w:val="20"/>
          <w:szCs w:val="20"/>
        </w:rPr>
        <w:t xml:space="preserve">Powyższe oznacza, że w przypadku gdy dłużnik skorzysta z przysługującego mu uprawnienia, zaś jego zachowanie będzie ocenione jako sprzeczne z regułami moralnymi, to działanie nie będzie korzystało z ochrony i nie zostanie uznane za wykonywanie prawa. W orzecznictwie ugruntowało się bowiem stanowisko zgodnie z którym sąd powinien odmówić ochrony dłużnikowi, który powołując się na przedawnienie, czyni w ten sposób ze swego prawa użytek sprzeczny z zasadami współżycia społecznego. </w:t>
      </w:r>
    </w:p>
    <w:p w:rsidR="0049632B" w:rsidRPr="0049632B" w:rsidRDefault="0049632B" w:rsidP="0049632B">
      <w:pPr>
        <w:jc w:val="both"/>
        <w:rPr>
          <w:rFonts w:ascii="Calibri" w:hAnsi="Calibri"/>
          <w:color w:val="333333"/>
          <w:sz w:val="20"/>
          <w:szCs w:val="20"/>
          <w:shd w:val="clear" w:color="auto" w:fill="FFFFFF"/>
        </w:rPr>
      </w:pPr>
      <w:r w:rsidRPr="0049632B">
        <w:rPr>
          <w:rFonts w:ascii="Calibri" w:hAnsi="Calibri"/>
          <w:color w:val="333333"/>
          <w:sz w:val="20"/>
          <w:szCs w:val="20"/>
          <w:shd w:val="clear" w:color="auto" w:fill="FFFFFF"/>
        </w:rPr>
        <w:t xml:space="preserve">Co do zasady, podniesienie zarzutu przedawnienia stanowi wykonywanie prawa podmiotowego o którym mowa w art. 117 § 2 Kodeksu cywilnego, jednakże skorzystanie z tego zarzutu może w konkretnej sprawie zostać uznane za nadużycie prawa podmiotowego jako pozostające w sprzeczności z zasadami współżycia społecznego. </w:t>
      </w:r>
    </w:p>
    <w:p w:rsidR="00940E38" w:rsidRDefault="00940E38" w:rsidP="0049632B">
      <w:pPr>
        <w:jc w:val="both"/>
        <w:rPr>
          <w:rFonts w:ascii="Calibri" w:hAnsi="Calibri"/>
          <w:color w:val="333333"/>
          <w:sz w:val="20"/>
          <w:szCs w:val="20"/>
          <w:shd w:val="clear" w:color="auto" w:fill="FFFFFF"/>
        </w:rPr>
      </w:pPr>
    </w:p>
    <w:p w:rsidR="0049632B" w:rsidRPr="0049632B" w:rsidRDefault="0049632B" w:rsidP="0049632B">
      <w:pPr>
        <w:jc w:val="both"/>
        <w:rPr>
          <w:rFonts w:ascii="Calibri" w:hAnsi="Calibri"/>
          <w:sz w:val="20"/>
          <w:szCs w:val="20"/>
        </w:rPr>
      </w:pPr>
      <w:r w:rsidRPr="0049632B">
        <w:rPr>
          <w:rFonts w:ascii="Calibri" w:hAnsi="Calibri"/>
          <w:color w:val="333333"/>
          <w:sz w:val="20"/>
          <w:szCs w:val="20"/>
          <w:shd w:val="clear" w:color="auto" w:fill="FFFFFF"/>
        </w:rPr>
        <w:t>Sąd Najwyższy wskazał, iż oceniając zgodność zarzutu przedawnienia z zasadami współżycia społecznego należy wziąć pod uwagę: charakter dochodzonego roszczenia, przyczynę opóźnienia oraz czy opóźnienie z wniesieniem powództwa nie było nadmierne (</w:t>
      </w:r>
      <w:r w:rsidRPr="0049632B">
        <w:rPr>
          <w:rFonts w:ascii="Calibri" w:hAnsi="Calibri"/>
          <w:i/>
          <w:color w:val="333333"/>
          <w:sz w:val="20"/>
          <w:szCs w:val="20"/>
          <w:shd w:val="clear" w:color="auto" w:fill="FFFFFF"/>
        </w:rPr>
        <w:t xml:space="preserve">wyrok SN z 12.12.2007 r., </w:t>
      </w:r>
      <w:r w:rsidRPr="0049632B">
        <w:rPr>
          <w:rFonts w:ascii="Calibri" w:hAnsi="Calibri"/>
          <w:i/>
          <w:sz w:val="20"/>
          <w:szCs w:val="20"/>
          <w:shd w:val="clear" w:color="auto" w:fill="FFFFFF"/>
        </w:rPr>
        <w:t>V CSK 334/07</w:t>
      </w:r>
      <w:r w:rsidRPr="0049632B">
        <w:rPr>
          <w:rFonts w:ascii="Calibri" w:hAnsi="Calibri"/>
          <w:i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49632B">
        <w:rPr>
          <w:rFonts w:ascii="Calibri" w:hAnsi="Calibri"/>
          <w:i/>
          <w:color w:val="333333"/>
          <w:sz w:val="20"/>
          <w:szCs w:val="20"/>
          <w:shd w:val="clear" w:color="auto" w:fill="FFFFFF"/>
        </w:rPr>
        <w:t>Legalis</w:t>
      </w:r>
      <w:proofErr w:type="spellEnd"/>
      <w:r w:rsidRPr="0049632B">
        <w:rPr>
          <w:rFonts w:ascii="Calibri" w:hAnsi="Calibri"/>
          <w:i/>
          <w:color w:val="333333"/>
          <w:sz w:val="20"/>
          <w:szCs w:val="20"/>
          <w:shd w:val="clear" w:color="auto" w:fill="FFFFFF"/>
        </w:rPr>
        <w:t xml:space="preserve">; wyrok SN 2.4.2003 r., </w:t>
      </w:r>
      <w:r w:rsidRPr="0049632B">
        <w:rPr>
          <w:rFonts w:ascii="Calibri" w:hAnsi="Calibri"/>
          <w:i/>
          <w:sz w:val="20"/>
          <w:szCs w:val="20"/>
          <w:shd w:val="clear" w:color="auto" w:fill="FFFFFF"/>
        </w:rPr>
        <w:t>I CKN 204/01</w:t>
      </w:r>
      <w:r w:rsidRPr="0049632B">
        <w:rPr>
          <w:rFonts w:ascii="Calibri" w:hAnsi="Calibri"/>
          <w:i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49632B">
        <w:rPr>
          <w:rFonts w:ascii="Calibri" w:hAnsi="Calibri"/>
          <w:i/>
          <w:color w:val="333333"/>
          <w:sz w:val="20"/>
          <w:szCs w:val="20"/>
          <w:shd w:val="clear" w:color="auto" w:fill="FFFFFF"/>
        </w:rPr>
        <w:t>Legalis</w:t>
      </w:r>
      <w:proofErr w:type="spellEnd"/>
      <w:r w:rsidRPr="0049632B">
        <w:rPr>
          <w:rFonts w:ascii="Calibri" w:hAnsi="Calibri"/>
          <w:i/>
          <w:color w:val="333333"/>
          <w:sz w:val="20"/>
          <w:szCs w:val="20"/>
          <w:shd w:val="clear" w:color="auto" w:fill="FFFFFF"/>
        </w:rPr>
        <w:t>; por. wyrok SA w Krakowie z 3.3.2011 r., </w:t>
      </w:r>
      <w:r w:rsidRPr="0049632B">
        <w:rPr>
          <w:rFonts w:ascii="Calibri" w:hAnsi="Calibri"/>
          <w:i/>
          <w:sz w:val="20"/>
          <w:szCs w:val="20"/>
          <w:shd w:val="clear" w:color="auto" w:fill="FFFFFF"/>
        </w:rPr>
        <w:t xml:space="preserve">II </w:t>
      </w:r>
      <w:proofErr w:type="spellStart"/>
      <w:r w:rsidRPr="0049632B">
        <w:rPr>
          <w:rFonts w:ascii="Calibri" w:hAnsi="Calibri"/>
          <w:i/>
          <w:sz w:val="20"/>
          <w:szCs w:val="20"/>
          <w:shd w:val="clear" w:color="auto" w:fill="FFFFFF"/>
        </w:rPr>
        <w:t>AKa</w:t>
      </w:r>
      <w:proofErr w:type="spellEnd"/>
      <w:r w:rsidRPr="0049632B">
        <w:rPr>
          <w:rFonts w:ascii="Calibri" w:hAnsi="Calibri"/>
          <w:i/>
          <w:sz w:val="20"/>
          <w:szCs w:val="20"/>
          <w:shd w:val="clear" w:color="auto" w:fill="FFFFFF"/>
        </w:rPr>
        <w:t xml:space="preserve"> 19/11</w:t>
      </w:r>
      <w:r w:rsidRPr="0049632B">
        <w:rPr>
          <w:rFonts w:ascii="Calibri" w:hAnsi="Calibri"/>
          <w:i/>
          <w:color w:val="333333"/>
          <w:sz w:val="20"/>
          <w:szCs w:val="20"/>
          <w:shd w:val="clear" w:color="auto" w:fill="FFFFFF"/>
        </w:rPr>
        <w:t xml:space="preserve">, Prok. i Pr. 2011, Nr 11, poz. 46; </w:t>
      </w:r>
      <w:r w:rsidRPr="0049632B">
        <w:rPr>
          <w:rFonts w:ascii="Calibri" w:hAnsi="Calibri"/>
          <w:i/>
          <w:sz w:val="20"/>
          <w:szCs w:val="20"/>
        </w:rPr>
        <w:t xml:space="preserve">por. </w:t>
      </w:r>
      <w:r w:rsidRPr="0049632B">
        <w:rPr>
          <w:rFonts w:ascii="Calibri" w:hAnsi="Calibri"/>
          <w:i/>
          <w:color w:val="333333"/>
          <w:sz w:val="20"/>
          <w:szCs w:val="20"/>
          <w:shd w:val="clear" w:color="auto" w:fill="FFFFFF"/>
        </w:rPr>
        <w:t>wyrok SA w Krakowie z 8.4.2016 r., </w:t>
      </w:r>
      <w:r w:rsidRPr="0049632B">
        <w:rPr>
          <w:rFonts w:ascii="Calibri" w:hAnsi="Calibri"/>
          <w:i/>
          <w:sz w:val="20"/>
          <w:szCs w:val="20"/>
          <w:shd w:val="clear" w:color="auto" w:fill="FFFFFF"/>
        </w:rPr>
        <w:t xml:space="preserve">I </w:t>
      </w:r>
      <w:proofErr w:type="spellStart"/>
      <w:r w:rsidRPr="0049632B">
        <w:rPr>
          <w:rFonts w:ascii="Calibri" w:hAnsi="Calibri"/>
          <w:i/>
          <w:sz w:val="20"/>
          <w:szCs w:val="20"/>
          <w:shd w:val="clear" w:color="auto" w:fill="FFFFFF"/>
        </w:rPr>
        <w:t>ACa</w:t>
      </w:r>
      <w:proofErr w:type="spellEnd"/>
      <w:r w:rsidRPr="0049632B">
        <w:rPr>
          <w:rFonts w:ascii="Calibri" w:hAnsi="Calibri"/>
          <w:i/>
          <w:sz w:val="20"/>
          <w:szCs w:val="20"/>
          <w:shd w:val="clear" w:color="auto" w:fill="FFFFFF"/>
        </w:rPr>
        <w:t xml:space="preserve"> 1831/15</w:t>
      </w:r>
      <w:r w:rsidRPr="0049632B">
        <w:rPr>
          <w:rFonts w:ascii="Calibri" w:hAnsi="Calibri"/>
          <w:i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49632B">
        <w:rPr>
          <w:rFonts w:ascii="Calibri" w:hAnsi="Calibri"/>
          <w:i/>
          <w:color w:val="333333"/>
          <w:sz w:val="20"/>
          <w:szCs w:val="20"/>
          <w:shd w:val="clear" w:color="auto" w:fill="FFFFFF"/>
        </w:rPr>
        <w:t>Legalis</w:t>
      </w:r>
      <w:proofErr w:type="spellEnd"/>
      <w:r w:rsidRPr="0049632B">
        <w:rPr>
          <w:rFonts w:ascii="Calibri" w:hAnsi="Calibri"/>
          <w:color w:val="333333"/>
          <w:sz w:val="20"/>
          <w:szCs w:val="20"/>
          <w:shd w:val="clear" w:color="auto" w:fill="FFFFFF"/>
        </w:rPr>
        <w:t>). Ponadto, za uznaniem podniesienia zarzutu przedawnienia za nadużycie prawa podmiotowego powinno również przemawiać zachowanie zobowiązanego w postaci wywoływania u uprawnionego przekonania o dobrowolnym zadośćuczynieniu roszczenia (</w:t>
      </w:r>
      <w:r w:rsidRPr="0049632B">
        <w:rPr>
          <w:rFonts w:ascii="Calibri" w:hAnsi="Calibri"/>
          <w:i/>
          <w:color w:val="333333"/>
          <w:sz w:val="20"/>
          <w:szCs w:val="20"/>
          <w:shd w:val="clear" w:color="auto" w:fill="FFFFFF"/>
        </w:rPr>
        <w:t>tak: Sąd Najwyższy w wyroku z 25.11.2010 r., </w:t>
      </w:r>
      <w:r w:rsidRPr="0049632B">
        <w:rPr>
          <w:rFonts w:ascii="Calibri" w:hAnsi="Calibri"/>
          <w:i/>
          <w:sz w:val="20"/>
          <w:szCs w:val="20"/>
          <w:shd w:val="clear" w:color="auto" w:fill="FFFFFF"/>
        </w:rPr>
        <w:t>III CSK 16/10</w:t>
      </w:r>
      <w:r w:rsidRPr="0049632B">
        <w:rPr>
          <w:rFonts w:ascii="Calibri" w:hAnsi="Calibri"/>
          <w:i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49632B">
        <w:rPr>
          <w:rFonts w:ascii="Calibri" w:hAnsi="Calibri"/>
          <w:i/>
          <w:color w:val="333333"/>
          <w:sz w:val="20"/>
          <w:szCs w:val="20"/>
          <w:shd w:val="clear" w:color="auto" w:fill="FFFFFF"/>
        </w:rPr>
        <w:t>Legalis</w:t>
      </w:r>
      <w:proofErr w:type="spellEnd"/>
      <w:r w:rsidRPr="0049632B">
        <w:rPr>
          <w:rFonts w:ascii="Calibri" w:hAnsi="Calibri"/>
          <w:color w:val="333333"/>
          <w:sz w:val="20"/>
          <w:szCs w:val="20"/>
          <w:shd w:val="clear" w:color="auto" w:fill="FFFFFF"/>
        </w:rPr>
        <w:t xml:space="preserve">). </w:t>
      </w:r>
    </w:p>
    <w:p w:rsidR="00940E38" w:rsidRDefault="00940E38" w:rsidP="0049632B">
      <w:pPr>
        <w:jc w:val="both"/>
        <w:rPr>
          <w:rFonts w:ascii="Calibri" w:hAnsi="Calibri"/>
          <w:sz w:val="20"/>
          <w:szCs w:val="20"/>
        </w:rPr>
      </w:pPr>
    </w:p>
    <w:p w:rsidR="0049632B" w:rsidRDefault="0049632B" w:rsidP="0049632B">
      <w:pPr>
        <w:jc w:val="both"/>
        <w:rPr>
          <w:rFonts w:ascii="Calibri" w:hAnsi="Calibri"/>
          <w:sz w:val="20"/>
          <w:szCs w:val="20"/>
        </w:rPr>
      </w:pPr>
      <w:r w:rsidRPr="0049632B">
        <w:rPr>
          <w:rFonts w:ascii="Calibri" w:hAnsi="Calibri"/>
          <w:sz w:val="20"/>
          <w:szCs w:val="20"/>
        </w:rPr>
        <w:t>Zarówno w doktrynie jak i orzecznictwie dominuje pogląd zgodnie z którym, sąd z urzędu uwzględnia na podstawie zebranego materiału dowodowego wystąpienie stanu faktycznego, którym jest nadużycie prawa podmiotowego przez dłużnika. W świetle powyższego, wierzyciel nie musi podnosić wobec dłużnika zarzutu procesowego o nadużyciu prawa podmiotowego, bowiem o tym czy faktycznie miało ono miejsce, rozstrzyga sąd. Należy mieć jednak na uwadze, iż w jednym z orzeczeń Sąd Najwyższy wskazał na odmienne stanowisko, zgodnie z którym strona powinna podnieść zarzut nadużycia prawa podmiotowego i wykazać swoje twierdzenia (</w:t>
      </w:r>
      <w:r w:rsidRPr="0049632B">
        <w:rPr>
          <w:rFonts w:ascii="Calibri" w:hAnsi="Calibri"/>
          <w:i/>
          <w:sz w:val="20"/>
          <w:szCs w:val="20"/>
        </w:rPr>
        <w:t xml:space="preserve">zob. wyrok Sądu Najwyższego z dnia 28 października 2003 r., sygn. akt: I CK 222/02, </w:t>
      </w:r>
      <w:proofErr w:type="spellStart"/>
      <w:r w:rsidRPr="0049632B">
        <w:rPr>
          <w:rFonts w:ascii="Calibri" w:hAnsi="Calibri"/>
          <w:i/>
          <w:sz w:val="20"/>
          <w:szCs w:val="20"/>
        </w:rPr>
        <w:t>Lex</w:t>
      </w:r>
      <w:proofErr w:type="spellEnd"/>
      <w:r w:rsidRPr="0049632B">
        <w:rPr>
          <w:rFonts w:ascii="Calibri" w:hAnsi="Calibri"/>
          <w:i/>
          <w:sz w:val="20"/>
          <w:szCs w:val="20"/>
        </w:rPr>
        <w:t xml:space="preserve"> nr 151610; zob. także wyrok SA w Krakowie z 29 marca 2000 r., sygn. akt II Aka 9/00, KZS 2000/4, poz. 48; postanowienie SA w Krakowie z 29 czerwca 2000 r., sygn. II </w:t>
      </w:r>
      <w:proofErr w:type="spellStart"/>
      <w:r w:rsidRPr="0049632B">
        <w:rPr>
          <w:rFonts w:ascii="Calibri" w:hAnsi="Calibri"/>
          <w:i/>
          <w:sz w:val="20"/>
          <w:szCs w:val="20"/>
        </w:rPr>
        <w:t>AKo</w:t>
      </w:r>
      <w:proofErr w:type="spellEnd"/>
      <w:r w:rsidRPr="0049632B">
        <w:rPr>
          <w:rFonts w:ascii="Calibri" w:hAnsi="Calibri"/>
          <w:i/>
          <w:sz w:val="20"/>
          <w:szCs w:val="20"/>
        </w:rPr>
        <w:t xml:space="preserve"> 47/00, KZS 2000/708, poz. 52</w:t>
      </w:r>
      <w:r w:rsidRPr="0049632B">
        <w:rPr>
          <w:rFonts w:ascii="Calibri" w:hAnsi="Calibri"/>
          <w:sz w:val="20"/>
          <w:szCs w:val="20"/>
        </w:rPr>
        <w:t xml:space="preserve">).  </w:t>
      </w:r>
    </w:p>
    <w:p w:rsidR="0049632B" w:rsidRPr="0049632B" w:rsidRDefault="0049632B" w:rsidP="0049632B">
      <w:pPr>
        <w:jc w:val="both"/>
        <w:rPr>
          <w:rFonts w:ascii="Calibri" w:hAnsi="Calibri"/>
          <w:sz w:val="20"/>
          <w:szCs w:val="20"/>
        </w:rPr>
      </w:pPr>
    </w:p>
    <w:p w:rsidR="0049632B" w:rsidRPr="0049632B" w:rsidRDefault="0049632B" w:rsidP="001A0BE1">
      <w:pPr>
        <w:pStyle w:val="Akapitzlist"/>
        <w:jc w:val="both"/>
        <w:rPr>
          <w:rFonts w:ascii="Calibri" w:hAnsi="Calibri"/>
          <w:sz w:val="24"/>
          <w:szCs w:val="24"/>
        </w:rPr>
      </w:pPr>
      <w:r w:rsidRPr="0049632B">
        <w:rPr>
          <w:rFonts w:ascii="Calibri" w:hAnsi="Calibri"/>
          <w:sz w:val="24"/>
          <w:szCs w:val="24"/>
        </w:rPr>
        <w:t xml:space="preserve">Podsumowanie. </w:t>
      </w:r>
    </w:p>
    <w:p w:rsidR="0049632B" w:rsidRPr="0049632B" w:rsidRDefault="0049632B" w:rsidP="0049632B">
      <w:pPr>
        <w:jc w:val="both"/>
        <w:rPr>
          <w:rFonts w:ascii="Calibri" w:hAnsi="Calibri"/>
          <w:sz w:val="20"/>
          <w:szCs w:val="20"/>
        </w:rPr>
      </w:pPr>
      <w:r w:rsidRPr="0049632B">
        <w:rPr>
          <w:rFonts w:ascii="Calibri" w:hAnsi="Calibri"/>
          <w:sz w:val="20"/>
          <w:szCs w:val="20"/>
        </w:rPr>
        <w:t xml:space="preserve">W świetle powyższego stwierdzić należy, iż upływ terminu przedawnienia roszczenia nie powoduje automatycznie, iż roszczenie staje się roszczeniem naturalnym, czyli niezaskarżalnym. Co więcej, dopiero podniesienie zarzutu przedawnienia w trakcie postępowania sądowego powoduje, iż dłużnik może uchylić się od zaspokojenia roszczenia. Instytucja nadużycia prawa podmiotowego ma na celu zapobiec sytuacji w której zastosowanie przepisów o przedawnieniu doprowadzi do orzeczenia sprzecznego z celami zakreślonymi przez ustawodawcę. W ocenie Autorki niniejszego artykułu, bezsporne jest, iż sąd powinien w każdej sprawie badać czy podniesienie zarzutu przedawnienia stanowi wykonanie prawa podmiotowego i powinno korzystać  z ochrony. Takie stanowisko ma doniosłe znaczenie w praktyce stosowania prawa, bowiem umożliwia albo uniemożliwia obronę słusznych interesów stron postępowania. Warto przy tym mieć na uwadze rolę wierzyciela, który powinien aktywnie uczestniczyć w postępowaniu i wykazywać wszystkie okoliczności </w:t>
      </w:r>
      <w:r w:rsidRPr="0049632B">
        <w:rPr>
          <w:rFonts w:ascii="Calibri" w:hAnsi="Calibri"/>
          <w:sz w:val="20"/>
          <w:szCs w:val="20"/>
        </w:rPr>
        <w:lastRenderedPageBreak/>
        <w:t xml:space="preserve">przemawiające na rzecz nieuwzględnienia zarzutu przedawnienia podniesionego przez dłużnika, o ile nieuwzględnienie zarzutu jest zasadne. </w:t>
      </w:r>
    </w:p>
    <w:p w:rsidR="0049632B" w:rsidRPr="0049632B" w:rsidRDefault="0049632B" w:rsidP="0049632B">
      <w:pPr>
        <w:jc w:val="both"/>
        <w:rPr>
          <w:rFonts w:ascii="Calibri" w:hAnsi="Calibri"/>
          <w:sz w:val="20"/>
          <w:szCs w:val="20"/>
        </w:rPr>
      </w:pPr>
    </w:p>
    <w:p w:rsidR="0049632B" w:rsidRPr="0049632B" w:rsidRDefault="0049632B" w:rsidP="0049632B">
      <w:pPr>
        <w:jc w:val="both"/>
        <w:rPr>
          <w:rFonts w:ascii="Calibri" w:hAnsi="Calibri"/>
          <w:sz w:val="20"/>
          <w:szCs w:val="20"/>
        </w:rPr>
      </w:pPr>
      <w:r w:rsidRPr="0049632B">
        <w:rPr>
          <w:rFonts w:ascii="Calibri" w:hAnsi="Calibri"/>
          <w:sz w:val="20"/>
          <w:szCs w:val="20"/>
        </w:rPr>
        <w:t>Autor: Dr Paulina Smulska, Adwokat</w:t>
      </w:r>
    </w:p>
    <w:p w:rsidR="0049632B" w:rsidRPr="0049632B" w:rsidRDefault="0049632B" w:rsidP="0049632B">
      <w:pPr>
        <w:jc w:val="both"/>
        <w:rPr>
          <w:rFonts w:ascii="Calibri" w:hAnsi="Calibri"/>
          <w:sz w:val="20"/>
          <w:szCs w:val="20"/>
        </w:rPr>
      </w:pPr>
      <w:r w:rsidRPr="0049632B">
        <w:rPr>
          <w:rFonts w:ascii="Calibri" w:hAnsi="Calibri"/>
          <w:sz w:val="20"/>
          <w:szCs w:val="20"/>
        </w:rPr>
        <w:t xml:space="preserve">Grupa </w:t>
      </w:r>
      <w:proofErr w:type="spellStart"/>
      <w:r w:rsidRPr="0049632B">
        <w:rPr>
          <w:rFonts w:ascii="Calibri" w:hAnsi="Calibri"/>
          <w:sz w:val="20"/>
          <w:szCs w:val="20"/>
        </w:rPr>
        <w:t>Chałas</w:t>
      </w:r>
      <w:proofErr w:type="spellEnd"/>
      <w:r w:rsidRPr="0049632B">
        <w:rPr>
          <w:rFonts w:ascii="Calibri" w:hAnsi="Calibri"/>
          <w:sz w:val="20"/>
          <w:szCs w:val="20"/>
        </w:rPr>
        <w:t xml:space="preserve"> i Wspólnicy - Law | </w:t>
      </w:r>
      <w:proofErr w:type="spellStart"/>
      <w:r w:rsidRPr="0049632B">
        <w:rPr>
          <w:rFonts w:ascii="Calibri" w:hAnsi="Calibri"/>
          <w:sz w:val="20"/>
          <w:szCs w:val="20"/>
        </w:rPr>
        <w:t>Tax</w:t>
      </w:r>
      <w:proofErr w:type="spellEnd"/>
      <w:r w:rsidRPr="0049632B">
        <w:rPr>
          <w:rFonts w:ascii="Calibri" w:hAnsi="Calibri"/>
          <w:sz w:val="20"/>
          <w:szCs w:val="20"/>
        </w:rPr>
        <w:t xml:space="preserve"> &amp; Finance | </w:t>
      </w:r>
      <w:proofErr w:type="spellStart"/>
      <w:r w:rsidRPr="0049632B">
        <w:rPr>
          <w:rFonts w:ascii="Calibri" w:hAnsi="Calibri"/>
          <w:sz w:val="20"/>
          <w:szCs w:val="20"/>
        </w:rPr>
        <w:t>Accounting</w:t>
      </w:r>
      <w:proofErr w:type="spellEnd"/>
    </w:p>
    <w:p w:rsidR="00B04C53" w:rsidRPr="0049632B" w:rsidRDefault="00B04C53" w:rsidP="00043ED6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p w:rsidR="009A7FE1" w:rsidRPr="00BA4569" w:rsidRDefault="009A7FE1" w:rsidP="009A7FE1">
      <w:pPr>
        <w:spacing w:line="276" w:lineRule="auto"/>
        <w:jc w:val="center"/>
        <w:rPr>
          <w:rFonts w:asciiTheme="minorHAnsi" w:hAnsiTheme="minorHAnsi"/>
          <w:b/>
          <w:bCs/>
          <w:sz w:val="27"/>
          <w:szCs w:val="27"/>
        </w:rPr>
      </w:pPr>
      <w:r w:rsidRPr="00BA4569">
        <w:rPr>
          <w:rFonts w:asciiTheme="minorHAnsi" w:hAnsiTheme="minorHAnsi"/>
          <w:b/>
          <w:sz w:val="22"/>
          <w:szCs w:val="22"/>
        </w:rPr>
        <w:t>***</w:t>
      </w:r>
    </w:p>
    <w:p w:rsidR="009A7FE1" w:rsidRDefault="009A7FE1" w:rsidP="009A7FE1">
      <w:pPr>
        <w:pStyle w:val="Nagwek3"/>
        <w:spacing w:line="276" w:lineRule="auto"/>
        <w:rPr>
          <w:rFonts w:asciiTheme="minorHAnsi" w:hAnsiTheme="minorHAnsi"/>
          <w:sz w:val="18"/>
          <w:szCs w:val="18"/>
        </w:rPr>
      </w:pPr>
      <w:r w:rsidRPr="00BA4569">
        <w:rPr>
          <w:rFonts w:asciiTheme="minorHAnsi" w:hAnsiTheme="minorHAnsi"/>
          <w:sz w:val="18"/>
          <w:szCs w:val="18"/>
        </w:rPr>
        <w:t>O Grupie CHWP</w:t>
      </w:r>
    </w:p>
    <w:p w:rsidR="00E528B6" w:rsidRPr="009A7FE1" w:rsidRDefault="00E528B6" w:rsidP="009A7FE1">
      <w:pPr>
        <w:pStyle w:val="Nagwek3"/>
        <w:spacing w:line="276" w:lineRule="auto"/>
        <w:rPr>
          <w:rFonts w:asciiTheme="minorHAnsi" w:hAnsiTheme="minorHAnsi"/>
          <w:sz w:val="18"/>
          <w:szCs w:val="18"/>
        </w:rPr>
      </w:pPr>
      <w:r w:rsidRPr="00BA4569">
        <w:rPr>
          <w:rFonts w:asciiTheme="minorHAnsi" w:hAnsiTheme="minorHAnsi"/>
          <w:b w:val="0"/>
          <w:sz w:val="18"/>
          <w:szCs w:val="18"/>
        </w:rPr>
        <w:t xml:space="preserve">Grupa CHWP opiera </w:t>
      </w:r>
      <w:r w:rsidR="00043ED6" w:rsidRPr="00BA4569">
        <w:rPr>
          <w:rFonts w:asciiTheme="minorHAnsi" w:hAnsiTheme="minorHAnsi"/>
          <w:b w:val="0"/>
          <w:sz w:val="18"/>
          <w:szCs w:val="18"/>
        </w:rPr>
        <w:t xml:space="preserve">swoją </w:t>
      </w:r>
      <w:r w:rsidR="00B04C53" w:rsidRPr="00BA4569">
        <w:rPr>
          <w:rFonts w:asciiTheme="minorHAnsi" w:hAnsiTheme="minorHAnsi"/>
          <w:b w:val="0"/>
          <w:sz w:val="18"/>
          <w:szCs w:val="18"/>
        </w:rPr>
        <w:t xml:space="preserve">działalność </w:t>
      </w:r>
      <w:r w:rsidRPr="00BA4569">
        <w:rPr>
          <w:rFonts w:asciiTheme="minorHAnsi" w:hAnsiTheme="minorHAnsi"/>
          <w:b w:val="0"/>
          <w:sz w:val="18"/>
          <w:szCs w:val="18"/>
        </w:rPr>
        <w:t xml:space="preserve">na 3 filarach: CHWP Law, CHWP </w:t>
      </w:r>
      <w:proofErr w:type="spellStart"/>
      <w:r w:rsidRPr="00BA4569">
        <w:rPr>
          <w:rFonts w:asciiTheme="minorHAnsi" w:hAnsiTheme="minorHAnsi"/>
          <w:b w:val="0"/>
          <w:sz w:val="18"/>
          <w:szCs w:val="18"/>
        </w:rPr>
        <w:t>Tax</w:t>
      </w:r>
      <w:proofErr w:type="spellEnd"/>
      <w:r w:rsidRPr="00BA4569">
        <w:rPr>
          <w:rFonts w:asciiTheme="minorHAnsi" w:hAnsiTheme="minorHAnsi"/>
          <w:b w:val="0"/>
          <w:sz w:val="18"/>
          <w:szCs w:val="18"/>
        </w:rPr>
        <w:t xml:space="preserve"> &amp; Finance </w:t>
      </w:r>
      <w:proofErr w:type="spellStart"/>
      <w:r w:rsidRPr="00BA4569">
        <w:rPr>
          <w:rFonts w:asciiTheme="minorHAnsi" w:hAnsiTheme="minorHAnsi"/>
          <w:b w:val="0"/>
          <w:sz w:val="18"/>
          <w:szCs w:val="18"/>
        </w:rPr>
        <w:t>Advisory</w:t>
      </w:r>
      <w:proofErr w:type="spellEnd"/>
      <w:r w:rsidRPr="00BA4569">
        <w:rPr>
          <w:rFonts w:asciiTheme="minorHAnsi" w:hAnsiTheme="minorHAnsi"/>
          <w:b w:val="0"/>
          <w:sz w:val="18"/>
          <w:szCs w:val="18"/>
        </w:rPr>
        <w:t xml:space="preserve"> oraz CHWP </w:t>
      </w:r>
      <w:proofErr w:type="spellStart"/>
      <w:r w:rsidRPr="00BA4569">
        <w:rPr>
          <w:rFonts w:asciiTheme="minorHAnsi" w:hAnsiTheme="minorHAnsi"/>
          <w:b w:val="0"/>
          <w:kern w:val="36"/>
          <w:sz w:val="18"/>
          <w:szCs w:val="18"/>
        </w:rPr>
        <w:t>Accounting</w:t>
      </w:r>
      <w:proofErr w:type="spellEnd"/>
      <w:r w:rsidRPr="00BA4569">
        <w:rPr>
          <w:rFonts w:asciiTheme="minorHAnsi" w:hAnsiTheme="minorHAnsi"/>
          <w:b w:val="0"/>
          <w:kern w:val="36"/>
          <w:sz w:val="18"/>
          <w:szCs w:val="18"/>
        </w:rPr>
        <w:t xml:space="preserve">. Kancelaria Chałas i Wspólnicy  wchodząca w skład Grupy </w:t>
      </w:r>
      <w:r w:rsidRPr="00BA4569">
        <w:rPr>
          <w:rFonts w:asciiTheme="minorHAnsi" w:hAnsiTheme="minorHAnsi"/>
          <w:b w:val="0"/>
          <w:sz w:val="18"/>
          <w:szCs w:val="18"/>
        </w:rPr>
        <w:t xml:space="preserve">koncentruje się na obsłudze dużego biznesu </w:t>
      </w:r>
      <w:r w:rsidR="00B04C53" w:rsidRPr="00BA4569">
        <w:rPr>
          <w:rFonts w:asciiTheme="minorHAnsi" w:hAnsiTheme="minorHAnsi"/>
          <w:b w:val="0"/>
          <w:sz w:val="18"/>
          <w:szCs w:val="18"/>
        </w:rPr>
        <w:br/>
      </w:r>
      <w:r w:rsidRPr="00BA4569">
        <w:rPr>
          <w:rFonts w:asciiTheme="minorHAnsi" w:hAnsiTheme="minorHAnsi"/>
          <w:b w:val="0"/>
          <w:kern w:val="36"/>
          <w:sz w:val="18"/>
          <w:szCs w:val="18"/>
        </w:rPr>
        <w:t xml:space="preserve">i </w:t>
      </w:r>
      <w:r w:rsidR="00B04C53" w:rsidRPr="00BA4569">
        <w:rPr>
          <w:rFonts w:asciiTheme="minorHAnsi" w:hAnsiTheme="minorHAnsi"/>
          <w:b w:val="0"/>
          <w:kern w:val="36"/>
          <w:sz w:val="18"/>
          <w:szCs w:val="18"/>
        </w:rPr>
        <w:t>s</w:t>
      </w:r>
      <w:r w:rsidRPr="00BA4569">
        <w:rPr>
          <w:rFonts w:asciiTheme="minorHAnsi" w:hAnsiTheme="minorHAnsi"/>
          <w:b w:val="0"/>
          <w:sz w:val="18"/>
          <w:szCs w:val="18"/>
        </w:rPr>
        <w:t xml:space="preserve">pecjalizuje się w obsłudze podmiotów gospodarczych. Chałas i Wspólnicy jest jedną z nielicznych firm prawniczych w Polsce o globalnym zasięgu. </w:t>
      </w:r>
      <w:r w:rsidR="00043ED6" w:rsidRPr="00BA4569">
        <w:rPr>
          <w:rFonts w:asciiTheme="minorHAnsi" w:hAnsiTheme="minorHAnsi"/>
          <w:b w:val="0"/>
          <w:sz w:val="18"/>
          <w:szCs w:val="18"/>
        </w:rPr>
        <w:t xml:space="preserve">Największym atutem CHWP </w:t>
      </w:r>
      <w:proofErr w:type="spellStart"/>
      <w:r w:rsidR="00043ED6" w:rsidRPr="00BA4569">
        <w:rPr>
          <w:rFonts w:asciiTheme="minorHAnsi" w:hAnsiTheme="minorHAnsi"/>
          <w:b w:val="0"/>
          <w:sz w:val="18"/>
          <w:szCs w:val="18"/>
        </w:rPr>
        <w:t>Tax</w:t>
      </w:r>
      <w:proofErr w:type="spellEnd"/>
      <w:r w:rsidR="00043ED6" w:rsidRPr="00BA4569">
        <w:rPr>
          <w:rFonts w:asciiTheme="minorHAnsi" w:hAnsiTheme="minorHAnsi"/>
          <w:b w:val="0"/>
          <w:sz w:val="18"/>
          <w:szCs w:val="18"/>
        </w:rPr>
        <w:t xml:space="preserve"> &amp; Finance </w:t>
      </w:r>
      <w:proofErr w:type="spellStart"/>
      <w:r w:rsidR="00043ED6" w:rsidRPr="00BA4569">
        <w:rPr>
          <w:rFonts w:asciiTheme="minorHAnsi" w:hAnsiTheme="minorHAnsi"/>
          <w:b w:val="0"/>
          <w:sz w:val="18"/>
          <w:szCs w:val="18"/>
        </w:rPr>
        <w:t>Advisory</w:t>
      </w:r>
      <w:proofErr w:type="spellEnd"/>
      <w:r w:rsidR="00043ED6" w:rsidRPr="00BA4569">
        <w:rPr>
          <w:rFonts w:asciiTheme="minorHAnsi" w:hAnsiTheme="minorHAnsi"/>
          <w:b w:val="0"/>
          <w:sz w:val="18"/>
          <w:szCs w:val="18"/>
        </w:rPr>
        <w:t xml:space="preserve"> jest grono eksperckie specjalizujące się w różnych gałęziach prawa, ekonomii, finansów, rachunkowości przedsiębiorstw.  Na czele CHWP </w:t>
      </w:r>
      <w:proofErr w:type="spellStart"/>
      <w:r w:rsidR="00043ED6" w:rsidRPr="00BA4569">
        <w:rPr>
          <w:rFonts w:asciiTheme="minorHAnsi" w:hAnsiTheme="minorHAnsi"/>
          <w:b w:val="0"/>
          <w:sz w:val="18"/>
          <w:szCs w:val="18"/>
        </w:rPr>
        <w:t>Tax</w:t>
      </w:r>
      <w:proofErr w:type="spellEnd"/>
      <w:r w:rsidR="00043ED6" w:rsidRPr="00BA4569">
        <w:rPr>
          <w:rFonts w:asciiTheme="minorHAnsi" w:hAnsiTheme="minorHAnsi"/>
          <w:b w:val="0"/>
          <w:sz w:val="18"/>
          <w:szCs w:val="18"/>
        </w:rPr>
        <w:t xml:space="preserve"> &amp; Finance </w:t>
      </w:r>
      <w:proofErr w:type="spellStart"/>
      <w:r w:rsidR="00043ED6" w:rsidRPr="00BA4569">
        <w:rPr>
          <w:rFonts w:asciiTheme="minorHAnsi" w:hAnsiTheme="minorHAnsi"/>
          <w:b w:val="0"/>
          <w:sz w:val="18"/>
          <w:szCs w:val="18"/>
        </w:rPr>
        <w:t>Advisory</w:t>
      </w:r>
      <w:proofErr w:type="spellEnd"/>
      <w:r w:rsidR="00043ED6" w:rsidRPr="00BA4569">
        <w:rPr>
          <w:rFonts w:asciiTheme="minorHAnsi" w:hAnsiTheme="minorHAnsi"/>
          <w:b w:val="0"/>
          <w:sz w:val="18"/>
          <w:szCs w:val="18"/>
        </w:rPr>
        <w:t xml:space="preserve"> stoi były wiceminister finansów dr hab., prof. </w:t>
      </w:r>
      <w:proofErr w:type="spellStart"/>
      <w:r w:rsidR="00043ED6" w:rsidRPr="00BA4569">
        <w:rPr>
          <w:rFonts w:asciiTheme="minorHAnsi" w:hAnsiTheme="minorHAnsi"/>
          <w:b w:val="0"/>
          <w:sz w:val="18"/>
          <w:szCs w:val="18"/>
        </w:rPr>
        <w:t>nadzw</w:t>
      </w:r>
      <w:proofErr w:type="spellEnd"/>
      <w:r w:rsidR="00043ED6" w:rsidRPr="00BA4569">
        <w:rPr>
          <w:rFonts w:asciiTheme="minorHAnsi" w:hAnsiTheme="minorHAnsi"/>
          <w:b w:val="0"/>
          <w:sz w:val="18"/>
          <w:szCs w:val="18"/>
        </w:rPr>
        <w:t xml:space="preserve">. Konrad Raczkowski. </w:t>
      </w:r>
      <w:r w:rsidRPr="00BA4569">
        <w:rPr>
          <w:rFonts w:asciiTheme="minorHAnsi" w:hAnsiTheme="minorHAnsi"/>
          <w:b w:val="0"/>
          <w:sz w:val="18"/>
          <w:szCs w:val="18"/>
        </w:rPr>
        <w:t xml:space="preserve">Grupa CHWP </w:t>
      </w:r>
      <w:r w:rsidRPr="00BA4569">
        <w:rPr>
          <w:rFonts w:asciiTheme="minorHAnsi" w:hAnsiTheme="minorHAnsi"/>
          <w:b w:val="0"/>
          <w:kern w:val="36"/>
          <w:sz w:val="18"/>
          <w:szCs w:val="18"/>
        </w:rPr>
        <w:t>posiada oddziały zagraniczne w Niemczech, Ukrainie oraz Kazachstanie</w:t>
      </w:r>
      <w:r w:rsidRPr="00BA4569">
        <w:rPr>
          <w:rFonts w:asciiTheme="minorHAnsi" w:hAnsiTheme="minorHAnsi"/>
          <w:b w:val="0"/>
          <w:kern w:val="36"/>
          <w:sz w:val="20"/>
          <w:szCs w:val="18"/>
        </w:rPr>
        <w:t>.</w:t>
      </w:r>
      <w:r w:rsidRPr="00BA4569">
        <w:rPr>
          <w:rFonts w:asciiTheme="minorHAnsi" w:hAnsiTheme="minorHAnsi"/>
          <w:b w:val="0"/>
          <w:sz w:val="20"/>
          <w:szCs w:val="18"/>
        </w:rPr>
        <w:t xml:space="preserve"> </w:t>
      </w:r>
    </w:p>
    <w:p w:rsidR="00BA4569" w:rsidRPr="00BA4569" w:rsidRDefault="00BA4569">
      <w:pPr>
        <w:pStyle w:val="Nagwek3"/>
        <w:spacing w:line="276" w:lineRule="auto"/>
        <w:jc w:val="both"/>
        <w:rPr>
          <w:rFonts w:asciiTheme="minorHAnsi" w:hAnsiTheme="minorHAnsi"/>
          <w:b w:val="0"/>
          <w:sz w:val="20"/>
          <w:szCs w:val="18"/>
        </w:rPr>
      </w:pPr>
    </w:p>
    <w:sectPr w:rsidR="00BA4569" w:rsidRPr="00BA4569" w:rsidSect="00AC3F7A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68" w:rsidRDefault="000A6768" w:rsidP="00E528B6">
      <w:r>
        <w:separator/>
      </w:r>
    </w:p>
  </w:endnote>
  <w:endnote w:type="continuationSeparator" w:id="0">
    <w:p w:rsidR="000A6768" w:rsidRDefault="000A6768" w:rsidP="00E5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49" w:rsidRDefault="000A6768">
    <w:pPr>
      <w:pStyle w:val="Stopka"/>
      <w:jc w:val="center"/>
      <w:rPr>
        <w:rFonts w:ascii="Calibri" w:hAnsi="Calibri"/>
        <w:color w:val="7F7F7F"/>
        <w:sz w:val="18"/>
        <w:szCs w:val="18"/>
      </w:rPr>
    </w:pPr>
  </w:p>
  <w:p w:rsidR="00B81049" w:rsidRPr="00C44944" w:rsidRDefault="0055098D">
    <w:pPr>
      <w:pStyle w:val="Stopka"/>
      <w:jc w:val="center"/>
      <w:rPr>
        <w:rFonts w:ascii="Calibri" w:hAnsi="Calibri"/>
        <w:color w:val="7F7F7F"/>
        <w:sz w:val="18"/>
        <w:szCs w:val="18"/>
      </w:rPr>
    </w:pPr>
    <w:r w:rsidRPr="00C44944">
      <w:rPr>
        <w:rFonts w:ascii="Calibri" w:hAnsi="Calibri"/>
        <w:color w:val="7F7F7F"/>
        <w:sz w:val="18"/>
        <w:szCs w:val="18"/>
      </w:rPr>
      <w:fldChar w:fldCharType="begin"/>
    </w:r>
    <w:r w:rsidR="00D82E0A" w:rsidRPr="00C44944">
      <w:rPr>
        <w:rFonts w:ascii="Calibri" w:hAnsi="Calibri"/>
        <w:color w:val="7F7F7F"/>
        <w:sz w:val="18"/>
        <w:szCs w:val="18"/>
      </w:rPr>
      <w:instrText xml:space="preserve"> PAGE   \* MERGEFORMAT </w:instrText>
    </w:r>
    <w:r w:rsidRPr="00C44944">
      <w:rPr>
        <w:rFonts w:ascii="Calibri" w:hAnsi="Calibri"/>
        <w:color w:val="7F7F7F"/>
        <w:sz w:val="18"/>
        <w:szCs w:val="18"/>
      </w:rPr>
      <w:fldChar w:fldCharType="separate"/>
    </w:r>
    <w:r w:rsidR="00940E38">
      <w:rPr>
        <w:rFonts w:ascii="Calibri" w:hAnsi="Calibri"/>
        <w:noProof/>
        <w:color w:val="7F7F7F"/>
        <w:sz w:val="18"/>
        <w:szCs w:val="18"/>
      </w:rPr>
      <w:t>2</w:t>
    </w:r>
    <w:r w:rsidRPr="00C44944">
      <w:rPr>
        <w:rFonts w:ascii="Calibri" w:hAnsi="Calibri"/>
        <w:color w:val="7F7F7F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C6" w:rsidRPr="00AC3F7A" w:rsidRDefault="00D82E0A" w:rsidP="00AC3F7A">
    <w:pPr>
      <w:pStyle w:val="Stopka"/>
    </w:pPr>
    <w:r>
      <w:ptab w:relativeTo="margin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68" w:rsidRDefault="000A6768" w:rsidP="00E528B6">
      <w:r>
        <w:separator/>
      </w:r>
    </w:p>
  </w:footnote>
  <w:footnote w:type="continuationSeparator" w:id="0">
    <w:p w:rsidR="000A6768" w:rsidRDefault="000A6768" w:rsidP="00E52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E9" w:rsidRPr="006A31AB" w:rsidRDefault="00E528B6" w:rsidP="00E528B6">
    <w:pPr>
      <w:pStyle w:val="Nagwek"/>
      <w:tabs>
        <w:tab w:val="clear" w:pos="4677"/>
        <w:tab w:val="clear" w:pos="9355"/>
        <w:tab w:val="center" w:pos="4536"/>
      </w:tabs>
      <w:ind w:right="-1"/>
    </w:pPr>
    <w:r>
      <w:rPr>
        <w:noProof/>
      </w:rPr>
      <w:drawing>
        <wp:inline distT="0" distB="0" distL="0" distR="0">
          <wp:extent cx="1137684" cy="1104027"/>
          <wp:effectExtent l="0" t="0" r="5715" b="1270"/>
          <wp:docPr id="1" name="Obraz 1" descr="C:\Users\kbandurski\Documents\Logo\Chalas-logo-05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andurski\Documents\Logo\Chalas-logo-05-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956" cy="1112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7D"/>
    <w:multiLevelType w:val="hybridMultilevel"/>
    <w:tmpl w:val="79FE726C"/>
    <w:lvl w:ilvl="0" w:tplc="C30E989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96E61"/>
    <w:multiLevelType w:val="hybridMultilevel"/>
    <w:tmpl w:val="3FD6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3468F"/>
    <w:multiLevelType w:val="hybridMultilevel"/>
    <w:tmpl w:val="4DE26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B2A03"/>
    <w:multiLevelType w:val="hybridMultilevel"/>
    <w:tmpl w:val="2D1E3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96AA7"/>
    <w:multiLevelType w:val="hybridMultilevel"/>
    <w:tmpl w:val="B674F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51E0C"/>
    <w:multiLevelType w:val="hybridMultilevel"/>
    <w:tmpl w:val="A104B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8B6"/>
    <w:rsid w:val="00043ED6"/>
    <w:rsid w:val="0008370E"/>
    <w:rsid w:val="000A6768"/>
    <w:rsid w:val="00140BE3"/>
    <w:rsid w:val="00197C3C"/>
    <w:rsid w:val="001A0BE1"/>
    <w:rsid w:val="001F673C"/>
    <w:rsid w:val="002145C7"/>
    <w:rsid w:val="002974C8"/>
    <w:rsid w:val="002C6E2B"/>
    <w:rsid w:val="002D5111"/>
    <w:rsid w:val="0032243B"/>
    <w:rsid w:val="00370477"/>
    <w:rsid w:val="003E726E"/>
    <w:rsid w:val="00421F81"/>
    <w:rsid w:val="00441AF0"/>
    <w:rsid w:val="00463FF4"/>
    <w:rsid w:val="0049632B"/>
    <w:rsid w:val="004F5B1B"/>
    <w:rsid w:val="0051063A"/>
    <w:rsid w:val="0055098D"/>
    <w:rsid w:val="0058705B"/>
    <w:rsid w:val="005F614C"/>
    <w:rsid w:val="00657301"/>
    <w:rsid w:val="006D695A"/>
    <w:rsid w:val="00724A16"/>
    <w:rsid w:val="00751D43"/>
    <w:rsid w:val="007E294A"/>
    <w:rsid w:val="007E6BEC"/>
    <w:rsid w:val="008C2B91"/>
    <w:rsid w:val="00940E38"/>
    <w:rsid w:val="009A7FE1"/>
    <w:rsid w:val="009F46F8"/>
    <w:rsid w:val="00AA5BC3"/>
    <w:rsid w:val="00B04C53"/>
    <w:rsid w:val="00B9762B"/>
    <w:rsid w:val="00BA4569"/>
    <w:rsid w:val="00BD0A0D"/>
    <w:rsid w:val="00D469BC"/>
    <w:rsid w:val="00D512D4"/>
    <w:rsid w:val="00D615D7"/>
    <w:rsid w:val="00D82E0A"/>
    <w:rsid w:val="00DC584E"/>
    <w:rsid w:val="00E528B6"/>
    <w:rsid w:val="00EE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528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28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rsid w:val="00E528B6"/>
    <w:pPr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rsid w:val="00E5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28B6"/>
    <w:pPr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528B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837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4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5F614C"/>
  </w:style>
  <w:style w:type="character" w:styleId="Uwydatnienie">
    <w:name w:val="Emphasis"/>
    <w:basedOn w:val="Domylnaczcionkaakapitu"/>
    <w:uiPriority w:val="20"/>
    <w:qFormat/>
    <w:rsid w:val="005F614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14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1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1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1416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kbandurski</dc:creator>
  <cp:lastModifiedBy>agrzeszczyk</cp:lastModifiedBy>
  <cp:revision>5</cp:revision>
  <dcterms:created xsi:type="dcterms:W3CDTF">2018-06-25T08:51:00Z</dcterms:created>
  <dcterms:modified xsi:type="dcterms:W3CDTF">2018-06-25T09:03:00Z</dcterms:modified>
</cp:coreProperties>
</file>