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30 / 04 /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4552950" cy="1109663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09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Wyścigowy Onrush dostępny w polskiej wersji językowej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 maju beta testy nowej gry Codemasters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Najeżdża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Onrush</w:t>
      </w:r>
      <w:r w:rsidDel="00000000" w:rsidR="00000000" w:rsidRPr="00000000">
        <w:rPr>
          <w:b w:val="1"/>
          <w:sz w:val="24"/>
          <w:szCs w:val="24"/>
          <w:rtl w:val="0"/>
        </w:rPr>
        <w:t xml:space="preserve"> - nowa gra wyścigowa cenionego studia Codemasters.</w:t>
      </w:r>
      <w:r w:rsidDel="00000000" w:rsidR="00000000" w:rsidRPr="00000000">
        <w:rPr>
          <w:sz w:val="24"/>
          <w:szCs w:val="24"/>
          <w:rtl w:val="0"/>
        </w:rPr>
        <w:t xml:space="preserve"> Nowy tytuł w ofercie Wydawnictwa Techland dostępny będzie od 5 czerwca w pełni zlokalizowanej wersji. Ponadto w dniach 17-20 maja odbędą się otwarte dla wszystkich beta testy gry na konsolach PlayStation 4 oraz Xbox One.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Onrush</w:t>
      </w:r>
      <w:r w:rsidDel="00000000" w:rsidR="00000000" w:rsidRPr="00000000">
        <w:rPr>
          <w:sz w:val="24"/>
          <w:szCs w:val="24"/>
          <w:rtl w:val="0"/>
        </w:rPr>
        <w:t xml:space="preserve"> odpowiadają byli członkowie </w:t>
      </w:r>
      <w:r w:rsidDel="00000000" w:rsidR="00000000" w:rsidRPr="00000000">
        <w:rPr>
          <w:b w:val="1"/>
          <w:sz w:val="24"/>
          <w:szCs w:val="24"/>
          <w:rtl w:val="0"/>
        </w:rPr>
        <w:t xml:space="preserve">Evolution - brytyjskiego studia z prawie 20-letnim doświadczeniem w temacie wirtualnych wyścigów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 takimi tytułami jak Driveclub i seria MotorStorm na koncie</w:t>
      </w:r>
      <w:r w:rsidDel="00000000" w:rsidR="00000000" w:rsidRPr="00000000">
        <w:rPr>
          <w:sz w:val="24"/>
          <w:szCs w:val="24"/>
          <w:rtl w:val="0"/>
        </w:rPr>
        <w:t xml:space="preserve"> - którzy dwa lata temu zasili szeregi Codemasters. Ich najnowsze dzieło stawia na nieskrępowaną zabawę i dynamiczne, będące zastrzykiem adrenaliny wyścigi arcade.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contextualSpacing w:val="0"/>
        <w:jc w:val="center"/>
        <w:rPr>
          <w:b w:val="1"/>
          <w:i w:val="1"/>
          <w:sz w:val="24"/>
          <w:szCs w:val="24"/>
        </w:rPr>
      </w:pPr>
      <w:hyperlink r:id="rId7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Zwiastun Onrush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contextualSpacing w:val="0"/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4161816" cy="2909888"/>
              <wp:effectExtent b="0" l="0" r="0" t="0"/>
              <wp:docPr id="1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1816" cy="290988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Onrush</w:t>
      </w:r>
      <w:r w:rsidDel="00000000" w:rsidR="00000000" w:rsidRPr="00000000">
        <w:rPr>
          <w:sz w:val="24"/>
          <w:szCs w:val="24"/>
          <w:rtl w:val="0"/>
        </w:rPr>
        <w:t xml:space="preserve"> stanowi </w:t>
      </w:r>
      <w:r w:rsidDel="00000000" w:rsidR="00000000" w:rsidRPr="00000000">
        <w:rPr>
          <w:b w:val="1"/>
          <w:sz w:val="24"/>
          <w:szCs w:val="24"/>
          <w:rtl w:val="0"/>
        </w:rPr>
        <w:t xml:space="preserve">połączenie samochodowego szaleństwa z sieciowymi rozgrywkami rodem ze strzelanin FPP</w:t>
      </w:r>
      <w:r w:rsidDel="00000000" w:rsidR="00000000" w:rsidRPr="00000000">
        <w:rPr>
          <w:sz w:val="24"/>
          <w:szCs w:val="24"/>
          <w:rtl w:val="0"/>
        </w:rPr>
        <w:t xml:space="preserve">. Do rywalizacji na otwartych lokacjach przystępują dwa sześcioosobowe zespoły. Gracze zasiadają za kółkiem pojazdów reprezentujących </w:t>
      </w:r>
      <w:r w:rsidDel="00000000" w:rsidR="00000000" w:rsidRPr="00000000">
        <w:rPr>
          <w:b w:val="1"/>
          <w:sz w:val="24"/>
          <w:szCs w:val="24"/>
          <w:rtl w:val="0"/>
        </w:rPr>
        <w:t xml:space="preserve">osiem różniących się atrybutami klas</w:t>
      </w:r>
      <w:r w:rsidDel="00000000" w:rsidR="00000000" w:rsidRPr="00000000">
        <w:rPr>
          <w:sz w:val="24"/>
          <w:szCs w:val="24"/>
          <w:rtl w:val="0"/>
        </w:rPr>
        <w:t xml:space="preserve">, a w tej rywalizacji ważniejsze od przekroczenia mety jest wykonanie celu takiego jak robienie trików, niszczenie wrogich pojazdów czy przejeżdżanie przez bramki i zbieranie punktów dla drużyny.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jc w:val="center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left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left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jc w:val="left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jc w:val="left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left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left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jc w:val="left"/>
        <w:rPr>
          <w:rFonts w:ascii="Helvetica Neue" w:cs="Helvetica Neue" w:eastAsia="Helvetica Neue" w:hAnsi="Helvetica Neue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  <w:color w:val="1d2129"/>
          <w:highlight w:val="white"/>
          <w:rtl w:val="0"/>
        </w:rPr>
        <w:t xml:space="preserve">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u w:val="single"/>
          <w:rtl w:val="0"/>
        </w:rPr>
        <w:t xml:space="preserve">O firmie Techland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Techland, niezależny producent gier, dystrybutor i globalny wydawca, powstał w 1991 roku. Polska firma znana jest najbardziej z gier Dead Island, Call of Juarez oraz Dying Light i dodatku Dying Light: The Following. Łącznie marka Dying Light przyciągnęła ponad 10 milionów graczy. Aktualnie pracuje nad dwiema grami z segmentu AAA, które ujrzą światło dzienne w ciągu najbliższych trzech lat.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 2016 roku Techland rozszerzył swoją działalność o wydawnictwo ogólnoświatowe pod marką Techland Publishing. Na początku 2017 roku firma wydała Torment: Tides of Numenera – ciepło przyjętego duchowego spadkobiercę legendarnego Planescape: Torment. Obecnie firma przygotowuje się do wydania Pure Farming 2018 oraz kilku produkcji firm trzecich.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 tworzy i wydaje najwyższej jakości produkcje na wiodących platformach – PC, Sony PlayStation 4 oraz Microsoft Xbox One. W czterech biurach znajdujących się na terenie Polski oraz Kanady pracuje ponad 350 utalentowanych osób. Każdym swoim produktem firma stara się dostarczać niezapomnianych przeżyć, korzystając przy tym z najświeższych i innowacyjnych technologii.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Więcej informacji o firmie Techland znajdziesz na oficjalnych stronach: http://techlandpublishing.com oraz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http://techland.pl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 Wszystkie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bookmarkStart w:colFirst="0" w:colLast="0" w:name="_yq069kaxjwne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1d2129"/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Konrad Adamczewski | Anna Łada-Grodzicka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konrad.adamczewski@techland.pl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|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anna.lada.grodzicka@techland.pl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76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355600"/>
          <wp:effectExtent b="0" l="0" r="0" t="0"/>
          <wp:docPr id="4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901700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onrad.adamczewski@techland.pl" TargetMode="External"/><Relationship Id="rId10" Type="http://schemas.openxmlformats.org/officeDocument/2006/relationships/hyperlink" Target="http://techland.pl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nna.lada.grodzicka@techland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hyperlink" Target="https://www.youtube.com/watch?v=wqnBZ0EvPhY" TargetMode="External"/><Relationship Id="rId8" Type="http://schemas.openxmlformats.org/officeDocument/2006/relationships/hyperlink" Target="https://www.youtube.com/watch?v=wqnBZ0EvPh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